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Arial" w:cs="Arial" w:eastAsia="Arial" w:hAnsi="Arial"/>
          <w:sz w:val="39"/>
          <w:szCs w:val="39"/>
          <w:color w:val="353E5E"/>
        </w:rPr>
        <w:t xml:space="preserve">PROVEN STRATEGY DRIVING </w:t>
      </w:r>
      <w:r>
        <w:rPr>
          <w:rFonts w:ascii="Arial" w:cs="Arial" w:eastAsia="Arial" w:hAnsi="Arial"/>
          <w:sz w:val="39"/>
          <w:szCs w:val="39"/>
          <w:color w:val="942D34"/>
        </w:rPr>
        <w:t>LONG-TERM SUCCESS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942D34"/>
        </w:rPr>
        <w:t xml:space="preserve">2026 </w:t>
      </w:r>
      <w:r>
        <w:rPr>
          <w:rFonts w:ascii="Arial" w:cs="Arial" w:eastAsia="Arial" w:hAnsi="Arial"/>
          <w:sz w:val="40"/>
          <w:szCs w:val="40"/>
          <w:color w:val="353E5E"/>
        </w:rPr>
        <w:t>Annual Report</w:t>
      </w:r>
    </w:p>
    <w:p>
      <w:pPr>
        <w:sectPr>
          <w:pgSz w:w="11880" w:h="15480" w:orient="portrait"/>
          <w:cols w:equalWidth="0" w:num="1">
            <w:col w:w="10040"/>
          </w:cols>
          <w:pgMar w:left="920" w:top="1440" w:right="920" w:bottom="1440" w:gutter="0" w:footer="0" w:header="0"/>
        </w:sectPr>
      </w:pPr>
    </w:p>
    <w:bookmarkStart w:id="1" w:name="page2"/>
    <w:bookmarkEnd w:id="1"/>
    <w:p>
      <w:pPr>
        <w:ind w:right="1280"/>
        <w:spacing w:after="0" w:line="262" w:lineRule="auto"/>
        <w:rPr>
          <w:sz w:val="20"/>
          <w:szCs w:val="20"/>
          <w:color w:val="auto"/>
        </w:rPr>
      </w:pPr>
      <w:r>
        <w:rPr>
          <w:rFonts w:ascii="Arial" w:cs="Arial" w:eastAsia="Arial" w:hAnsi="Arial"/>
          <w:sz w:val="24"/>
          <w:szCs w:val="24"/>
          <w:b w:val="1"/>
          <w:bCs w:val="1"/>
          <w:color w:val="353E5E"/>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t xml:space="preserve">Prestige Consumer Healthcare Inc. </w:t>
      </w:r>
      <w:r>
        <w:rPr>
          <w:rFonts w:ascii="Arial" w:cs="Arial" w:eastAsia="Arial" w:hAnsi="Arial"/>
          <w:sz w:val="24"/>
          <w:szCs w:val="24"/>
          <w:color w:val="2F2F2E"/>
        </w:rPr>
        <w:t>markets, sells, manufactures and</w:t>
      </w:r>
      <w:r>
        <w:rPr>
          <w:rFonts w:ascii="Arial" w:cs="Arial" w:eastAsia="Arial" w:hAnsi="Arial"/>
          <w:sz w:val="24"/>
          <w:szCs w:val="24"/>
          <w:b w:val="1"/>
          <w:bCs w:val="1"/>
          <w:color w:val="353E5E"/>
        </w:rPr>
        <w:t xml:space="preserve"> </w:t>
      </w:r>
      <w:r>
        <w:rPr>
          <w:rFonts w:ascii="Arial" w:cs="Arial" w:eastAsia="Arial" w:hAnsi="Arial"/>
          <w:sz w:val="24"/>
          <w:szCs w:val="24"/>
          <w:color w:val="2F2F2E"/>
        </w:rPr>
        <w:t>distributes consumer healthcare products to retail outlets in the U.S., Canada, Australia and certain other international markets. We are a company of brand builders. We have grown organically and by acquiring well-recognized leading brands in niche categories. Our management provides our brands with the marketing expertise and investment necessary to grow the brands’ market position, expand its distribution and successfully launch line extensions and new products, with the goal of continually enhancing consumer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1155065</wp:posOffset>
            </wp:positionV>
            <wp:extent cx="7543800" cy="6266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6266180"/>
                    </a:xfrm>
                    <a:prstGeom prst="rect">
                      <a:avLst/>
                    </a:prstGeom>
                    <a:noFill/>
                  </pic:spPr>
                </pic:pic>
              </a:graphicData>
            </a:graphic>
          </wp:anchor>
        </w:drawing>
      </w:r>
    </w:p>
    <w:p>
      <w:pPr>
        <w:sectPr>
          <w:pgSz w:w="11880" w:h="15480" w:orient="portrait"/>
          <w:cols w:equalWidth="0" w:num="1">
            <w:col w:w="9540"/>
          </w:cols>
          <w:pgMar w:left="900" w:top="1382"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507365</wp:posOffset>
            </wp:positionH>
            <wp:positionV relativeFrom="page">
              <wp:posOffset>850265</wp:posOffset>
            </wp:positionV>
            <wp:extent cx="2261235" cy="740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1235" cy="74041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58"/>
          <w:szCs w:val="58"/>
          <w:color w:val="353E5E"/>
        </w:rPr>
        <w:t>2026</w:t>
      </w:r>
    </w:p>
    <w:p>
      <w:pPr>
        <w:spacing w:after="0"/>
        <w:rPr>
          <w:sz w:val="20"/>
          <w:szCs w:val="20"/>
          <w:color w:val="auto"/>
        </w:rPr>
      </w:pPr>
      <w:r>
        <w:rPr>
          <w:rFonts w:ascii="Arial" w:cs="Arial" w:eastAsia="Arial" w:hAnsi="Arial"/>
          <w:sz w:val="58"/>
          <w:szCs w:val="58"/>
          <w:b w:val="1"/>
          <w:bCs w:val="1"/>
          <w:color w:val="353E5E"/>
        </w:rPr>
        <w:t>FACTS+FIGURES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92075</wp:posOffset>
                </wp:positionV>
                <wp:extent cx="40576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765" cy="4763"/>
                        </a:xfrm>
                        <a:prstGeom prst="line">
                          <a:avLst/>
                        </a:prstGeom>
                        <a:solidFill>
                          <a:srgbClr val="FFFFFF"/>
                        </a:solidFill>
                        <a:ln w="63500">
                          <a:solidFill>
                            <a:srgbClr val="942D34"/>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25pt" to="31.95pt,7.25pt" o:allowincell="f" strokecolor="#942D34" strokeweight="5pt"/>
            </w:pict>
          </mc:Fallback>
        </mc:AlternateContent>
      </w:r>
    </w:p>
    <w:p>
      <w:pPr>
        <w:spacing w:after="0" w:line="200" w:lineRule="exact"/>
        <w:rPr>
          <w:sz w:val="20"/>
          <w:szCs w:val="20"/>
          <w:color w:val="auto"/>
        </w:rPr>
      </w:pPr>
    </w:p>
    <w:p>
      <w:pPr>
        <w:spacing w:after="0" w:line="337" w:lineRule="exact"/>
        <w:rPr>
          <w:sz w:val="20"/>
          <w:szCs w:val="20"/>
          <w:color w:val="auto"/>
        </w:rPr>
      </w:pPr>
    </w:p>
    <w:p>
      <w:pPr>
        <w:ind w:right="1540"/>
        <w:spacing w:after="0" w:line="283" w:lineRule="auto"/>
        <w:rPr>
          <w:sz w:val="20"/>
          <w:szCs w:val="20"/>
          <w:color w:val="auto"/>
        </w:rPr>
      </w:pPr>
      <w:r>
        <w:rPr>
          <w:rFonts w:ascii="Arial" w:cs="Arial" w:eastAsia="Arial" w:hAnsi="Arial"/>
          <w:sz w:val="25"/>
          <w:szCs w:val="25"/>
          <w:color w:val="353E5E"/>
        </w:rPr>
        <w:t>At Prestige Consumer Healthcare, we focus on brand-building and product innovation in niche consumer healthcare categories to better improve the lives of our consumers. For generations, our trusted brands have helped consumers care for themselves and their loved ones.</w:t>
      </w:r>
    </w:p>
    <w:p>
      <w:pPr>
        <w:spacing w:after="0" w:line="4" w:lineRule="exact"/>
        <w:rPr>
          <w:sz w:val="20"/>
          <w:szCs w:val="20"/>
          <w:color w:val="auto"/>
        </w:rPr>
      </w:pPr>
    </w:p>
    <w:p>
      <w:pPr>
        <w:ind w:right="1600"/>
        <w:spacing w:after="0" w:line="271" w:lineRule="auto"/>
        <w:rPr>
          <w:sz w:val="20"/>
          <w:szCs w:val="20"/>
          <w:color w:val="auto"/>
        </w:rPr>
      </w:pPr>
      <w:r>
        <w:rPr>
          <w:rFonts w:ascii="Arial" w:cs="Arial" w:eastAsia="Arial" w:hAnsi="Arial"/>
          <w:sz w:val="28"/>
          <w:szCs w:val="28"/>
          <w:color w:val="353E5E"/>
        </w:rPr>
        <w:t>It is our mission to preserve this trust by continuing to provide products with their needs in mind.</w:t>
      </w:r>
    </w:p>
    <w:p>
      <w:pPr>
        <w:sectPr>
          <w:pgSz w:w="11880" w:h="15480" w:orient="portrait"/>
          <w:cols w:equalWidth="0" w:num="1">
            <w:col w:w="9540"/>
          </w:cols>
          <w:pgMar w:left="900" w:top="1440" w:right="1440" w:bottom="7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80"/>
        <w:spacing w:after="0" w:line="277" w:lineRule="auto"/>
        <w:rPr>
          <w:sz w:val="20"/>
          <w:szCs w:val="20"/>
          <w:color w:val="auto"/>
        </w:rPr>
      </w:pPr>
      <w:r>
        <w:rPr>
          <w:rFonts w:ascii="Arial" w:cs="Arial" w:eastAsia="Arial" w:hAnsi="Arial"/>
          <w:sz w:val="25"/>
          <w:szCs w:val="25"/>
          <w:b w:val="1"/>
          <w:bCs w:val="1"/>
          <w:color w:val="353E5E"/>
        </w:rPr>
        <w:t>Consistent Long-Term Revenue Performance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2F2F2E"/>
        </w:rPr>
        <w:t>Revenues of</w:t>
      </w:r>
    </w:p>
    <w:p>
      <w:pPr>
        <w:spacing w:after="0" w:line="44" w:lineRule="exact"/>
        <w:rPr>
          <w:sz w:val="20"/>
          <w:szCs w:val="20"/>
          <w:color w:val="auto"/>
        </w:rPr>
      </w:pPr>
    </w:p>
    <w:p>
      <w:pPr>
        <w:spacing w:after="0"/>
        <w:rPr>
          <w:sz w:val="20"/>
          <w:szCs w:val="20"/>
          <w:color w:val="auto"/>
        </w:rPr>
      </w:pPr>
      <w:r>
        <w:rPr>
          <w:rFonts w:ascii="Arial" w:cs="Arial" w:eastAsia="Arial" w:hAnsi="Arial"/>
          <w:sz w:val="64"/>
          <w:szCs w:val="64"/>
          <w:color w:val="353E5E"/>
        </w:rPr>
        <w:t>$1,089 M</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2F2F2E"/>
        </w:rPr>
        <w:t>a 2.9% CAGR over the last five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513715</wp:posOffset>
                </wp:positionV>
                <wp:extent cx="236918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9185" cy="4763"/>
                        </a:xfrm>
                        <a:prstGeom prst="line">
                          <a:avLst/>
                        </a:prstGeom>
                        <a:solidFill>
                          <a:srgbClr val="FFFFFF"/>
                        </a:solidFill>
                        <a:ln w="6350">
                          <a:solidFill>
                            <a:srgbClr val="942D34"/>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45pt" to="186.55pt,40.45pt" o:allowincell="f" strokecolor="#942D34"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353E5E"/>
        </w:rPr>
        <w:t>Strong Cash Generation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2F2F2E"/>
        </w:rPr>
        <w:t>Free Cash Flow of</w:t>
      </w:r>
    </w:p>
    <w:p>
      <w:pPr>
        <w:spacing w:after="0" w:line="44" w:lineRule="exact"/>
        <w:rPr>
          <w:sz w:val="20"/>
          <w:szCs w:val="20"/>
          <w:color w:val="auto"/>
        </w:rPr>
      </w:pPr>
    </w:p>
    <w:p>
      <w:pPr>
        <w:spacing w:after="0"/>
        <w:rPr>
          <w:sz w:val="20"/>
          <w:szCs w:val="20"/>
          <w:color w:val="auto"/>
        </w:rPr>
      </w:pPr>
      <w:r>
        <w:rPr>
          <w:rFonts w:ascii="Arial" w:cs="Arial" w:eastAsia="Arial" w:hAnsi="Arial"/>
          <w:sz w:val="64"/>
          <w:szCs w:val="64"/>
          <w:color w:val="353E5E"/>
        </w:rPr>
        <w:t>$246 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6"/>
          <w:szCs w:val="26"/>
          <w:b w:val="1"/>
          <w:bCs w:val="1"/>
          <w:color w:val="353E5E"/>
        </w:rPr>
        <w:t>Continued growth in</w:t>
      </w:r>
    </w:p>
    <w:p>
      <w:pPr>
        <w:spacing w:after="0" w:line="13" w:lineRule="exact"/>
        <w:rPr>
          <w:sz w:val="20"/>
          <w:szCs w:val="20"/>
          <w:color w:val="auto"/>
        </w:rPr>
      </w:pPr>
    </w:p>
    <w:p>
      <w:pPr>
        <w:spacing w:after="0"/>
        <w:rPr>
          <w:sz w:val="20"/>
          <w:szCs w:val="20"/>
          <w:color w:val="auto"/>
        </w:rPr>
      </w:pPr>
      <w:r>
        <w:rPr>
          <w:rFonts w:ascii="Arial" w:cs="Arial" w:eastAsia="Arial" w:hAnsi="Arial"/>
          <w:sz w:val="26"/>
          <w:szCs w:val="26"/>
          <w:b w:val="1"/>
          <w:bCs w:val="1"/>
          <w:color w:val="353E5E"/>
        </w:rPr>
        <w:t>Category-defining Brands</w:t>
      </w:r>
    </w:p>
    <w:p>
      <w:pPr>
        <w:spacing w:after="0" w:line="109" w:lineRule="exact"/>
        <w:rPr>
          <w:sz w:val="20"/>
          <w:szCs w:val="20"/>
          <w:color w:val="auto"/>
        </w:rPr>
      </w:pPr>
    </w:p>
    <w:p>
      <w:pPr>
        <w:spacing w:after="0"/>
        <w:rPr>
          <w:sz w:val="20"/>
          <w:szCs w:val="20"/>
          <w:color w:val="auto"/>
        </w:rPr>
      </w:pPr>
      <w:r>
        <w:rPr>
          <w:rFonts w:ascii="Arial" w:cs="Arial" w:eastAsia="Arial" w:hAnsi="Arial"/>
          <w:sz w:val="46"/>
          <w:szCs w:val="46"/>
          <w:color w:val="353E5E"/>
        </w:rPr>
        <w:t>Dramamine</w:t>
      </w:r>
      <w:r>
        <w:rPr>
          <w:rFonts w:ascii="Arial" w:cs="Arial" w:eastAsia="Arial" w:hAnsi="Arial"/>
          <w:sz w:val="27"/>
          <w:szCs w:val="27"/>
          <w:color w:val="353E5E"/>
        </w:rPr>
        <w:t>®</w:t>
      </w:r>
    </w:p>
    <w:p>
      <w:pPr>
        <w:spacing w:after="0" w:line="71" w:lineRule="exact"/>
        <w:rPr>
          <w:sz w:val="20"/>
          <w:szCs w:val="20"/>
          <w:color w:val="auto"/>
        </w:rPr>
      </w:pPr>
    </w:p>
    <w:p>
      <w:pPr>
        <w:spacing w:after="0"/>
        <w:rPr>
          <w:sz w:val="20"/>
          <w:szCs w:val="20"/>
          <w:color w:val="auto"/>
        </w:rPr>
      </w:pPr>
      <w:r>
        <w:rPr>
          <w:rFonts w:ascii="Arial" w:cs="Arial" w:eastAsia="Arial" w:hAnsi="Arial"/>
          <w:sz w:val="46"/>
          <w:szCs w:val="46"/>
          <w:color w:val="353E5E"/>
        </w:rPr>
        <w:t>Fleet</w:t>
      </w:r>
      <w:r>
        <w:rPr>
          <w:rFonts w:ascii="Arial" w:cs="Arial" w:eastAsia="Arial" w:hAnsi="Arial"/>
          <w:sz w:val="27"/>
          <w:szCs w:val="27"/>
          <w:color w:val="353E5E"/>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2F2F2E"/>
        </w:rPr>
        <w:t>drove the fifth year in a row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F2F2E"/>
        </w:rPr>
        <w:t>Gastrointestinal category growth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344805</wp:posOffset>
                </wp:positionV>
                <wp:extent cx="236982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9820" cy="4763"/>
                        </a:xfrm>
                        <a:prstGeom prst="line">
                          <a:avLst/>
                        </a:prstGeom>
                        <a:solidFill>
                          <a:srgbClr val="FFFFFF"/>
                        </a:solidFill>
                        <a:ln w="6350">
                          <a:solidFill>
                            <a:srgbClr val="942D34"/>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499pt,27.15pt" to="185.85pt,27.15pt" o:allowincell="f" strokecolor="#942D34"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5"/>
          <w:szCs w:val="25"/>
          <w:b w:val="1"/>
          <w:bCs w:val="1"/>
          <w:color w:val="353E5E"/>
        </w:rPr>
        <w:t>Efficient Capital Allocation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2F2F2E"/>
        </w:rPr>
        <w:t>Leverage of</w:t>
      </w:r>
    </w:p>
    <w:p>
      <w:pPr>
        <w:spacing w:after="0" w:line="44" w:lineRule="exact"/>
        <w:rPr>
          <w:sz w:val="20"/>
          <w:szCs w:val="20"/>
          <w:color w:val="auto"/>
        </w:rPr>
      </w:pPr>
    </w:p>
    <w:p>
      <w:pPr>
        <w:spacing w:after="0"/>
        <w:rPr>
          <w:sz w:val="20"/>
          <w:szCs w:val="20"/>
          <w:color w:val="auto"/>
        </w:rPr>
      </w:pPr>
      <w:r>
        <w:rPr>
          <w:rFonts w:ascii="Arial" w:cs="Arial" w:eastAsia="Arial" w:hAnsi="Arial"/>
          <w:sz w:val="64"/>
          <w:szCs w:val="64"/>
          <w:color w:val="353E5E"/>
        </w:rPr>
        <w:t>2.6x</w:t>
      </w:r>
    </w:p>
    <w:p>
      <w:pPr>
        <w:spacing w:after="0" w:line="98" w:lineRule="exact"/>
        <w:rPr>
          <w:sz w:val="20"/>
          <w:szCs w:val="20"/>
          <w:color w:val="auto"/>
        </w:rPr>
      </w:pPr>
    </w:p>
    <w:p>
      <w:pPr>
        <w:sectPr>
          <w:pgSz w:w="11880" w:h="15480" w:orient="portrait"/>
          <w:cols w:equalWidth="0" w:num="2">
            <w:col w:w="3780" w:space="720"/>
            <w:col w:w="5040"/>
          </w:cols>
          <w:pgMar w:left="900" w:top="1440" w:right="1440" w:bottom="766" w:gutter="0" w:footer="0" w:header="0"/>
          <w:type w:val="continuous"/>
        </w:sectPr>
      </w:pPr>
    </w:p>
    <w:p>
      <w:pPr>
        <w:spacing w:after="0"/>
        <w:tabs>
          <w:tab w:leader="none" w:pos="4480" w:val="left"/>
        </w:tabs>
        <w:rPr>
          <w:sz w:val="20"/>
          <w:szCs w:val="20"/>
          <w:color w:val="auto"/>
        </w:rPr>
      </w:pPr>
      <w:r>
        <w:rPr>
          <w:rFonts w:ascii="Arial" w:cs="Arial" w:eastAsia="Arial" w:hAnsi="Arial"/>
          <w:sz w:val="18"/>
          <w:szCs w:val="18"/>
          <w:color w:val="2F2F2E"/>
        </w:rPr>
        <w:t>enabling the June 2026 acquisition</w:t>
      </w:r>
      <w:r>
        <w:rPr>
          <w:sz w:val="20"/>
          <w:szCs w:val="20"/>
          <w:color w:val="auto"/>
        </w:rPr>
        <w:tab/>
      </w:r>
      <w:r>
        <w:rPr>
          <w:rFonts w:ascii="Arial" w:cs="Arial" w:eastAsia="Arial" w:hAnsi="Arial"/>
          <w:sz w:val="17"/>
          <w:szCs w:val="17"/>
          <w:color w:val="2F2F2E"/>
        </w:rPr>
        <w:t>at year-end, enabling capital</w:t>
      </w:r>
    </w:p>
    <w:p>
      <w:pPr>
        <w:spacing w:after="0" w:line="33"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2F2F2E"/>
        </w:rPr>
        <w:t>of Breathe Right</w:t>
      </w:r>
      <w:r>
        <w:rPr>
          <w:rFonts w:ascii="Arial" w:cs="Arial" w:eastAsia="Arial" w:hAnsi="Arial"/>
          <w:sz w:val="10"/>
          <w:szCs w:val="10"/>
          <w:color w:val="2F2F2E"/>
        </w:rPr>
        <w:t>®</w:t>
      </w:r>
      <w:r>
        <w:rPr>
          <w:sz w:val="20"/>
          <w:szCs w:val="20"/>
          <w:color w:val="auto"/>
        </w:rPr>
        <w:tab/>
      </w:r>
      <w:r>
        <w:rPr>
          <w:rFonts w:ascii="Arial" w:cs="Arial" w:eastAsia="Arial" w:hAnsi="Arial"/>
          <w:sz w:val="18"/>
          <w:szCs w:val="18"/>
          <w:color w:val="2F2F2E"/>
        </w:rPr>
        <w:t>deployment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836295</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6964045</wp:posOffset>
            </wp:positionH>
            <wp:positionV relativeFrom="paragraph">
              <wp:posOffset>836295</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9540"/>
          </w:cols>
          <w:pgMar w:left="900" w:top="1440" w:right="1440" w:bottom="766" w:gutter="0" w:footer="0" w:header="0"/>
          <w:type w:val="continuous"/>
        </w:sectPr>
      </w:pPr>
    </w:p>
    <w:bookmarkStart w:id="3" w:name="page4"/>
    <w:bookmarkEnd w:id="3"/>
    <w:p>
      <w:pPr>
        <w:ind w:right="3700"/>
        <w:spacing w:after="0" w:line="280" w:lineRule="auto"/>
        <w:rPr>
          <w:sz w:val="20"/>
          <w:szCs w:val="20"/>
          <w:color w:val="auto"/>
        </w:rPr>
      </w:pPr>
      <w:r>
        <w:rPr>
          <w:rFonts w:ascii="Arial" w:cs="Arial" w:eastAsia="Arial" w:hAnsi="Arial"/>
          <w:sz w:val="52"/>
          <w:szCs w:val="52"/>
          <w:color w:val="353E5E"/>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 xml:space="preserve">A DIVERSIFIED PORTFOLIO </w:t>
      </w:r>
      <w:r>
        <w:rPr>
          <w:rFonts w:ascii="Arial" w:cs="Arial" w:eastAsia="Arial" w:hAnsi="Arial"/>
          <w:sz w:val="52"/>
          <w:szCs w:val="52"/>
          <w:b w:val="1"/>
          <w:bCs w:val="1"/>
          <w:color w:val="353E5E"/>
        </w:rPr>
        <w:t>OF BRANDS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2F2F2E"/>
        </w:rPr>
        <w:t>Category percentage of FY26 revenues</w:t>
      </w:r>
    </w:p>
    <w:p>
      <w:pPr>
        <w:sectPr>
          <w:pgSz w:w="11880" w:h="15480" w:orient="portrait"/>
          <w:cols w:equalWidth="0" w:num="1">
            <w:col w:w="9980"/>
          </w:cols>
          <w:pgMar w:left="980" w:top="1284" w:right="920" w:bottom="4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80"/>
        <w:spacing w:after="0"/>
        <w:rPr>
          <w:sz w:val="20"/>
          <w:szCs w:val="20"/>
          <w:color w:val="auto"/>
        </w:rPr>
      </w:pPr>
      <w:r>
        <w:rPr>
          <w:rFonts w:ascii="Arial" w:cs="Arial" w:eastAsia="Arial" w:hAnsi="Arial"/>
          <w:sz w:val="64"/>
          <w:szCs w:val="64"/>
          <w:color w:val="FFFFFF"/>
        </w:rPr>
        <w:t>9%</w:t>
      </w:r>
    </w:p>
    <w:p>
      <w:pPr>
        <w:spacing w:after="0" w:line="83"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FFFFFF"/>
        </w:rPr>
        <w:t>ORAL CARE</w:t>
      </w:r>
    </w:p>
    <w:p>
      <w:pPr>
        <w:spacing w:after="0" w:line="157" w:lineRule="exact"/>
        <w:rPr>
          <w:sz w:val="20"/>
          <w:szCs w:val="20"/>
          <w:color w:val="auto"/>
        </w:rPr>
      </w:pPr>
    </w:p>
    <w:p>
      <w:pPr>
        <w:ind w:left="2080"/>
        <w:spacing w:after="0"/>
        <w:rPr>
          <w:sz w:val="20"/>
          <w:szCs w:val="20"/>
          <w:color w:val="auto"/>
        </w:rPr>
      </w:pPr>
      <w:r>
        <w:rPr>
          <w:rFonts w:ascii="Arial" w:cs="Arial" w:eastAsia="Arial" w:hAnsi="Arial"/>
          <w:sz w:val="64"/>
          <w:szCs w:val="64"/>
          <w:color w:val="FFFFFF"/>
        </w:rPr>
        <w:t>9%</w:t>
      </w:r>
    </w:p>
    <w:p>
      <w:pPr>
        <w:spacing w:after="0" w:line="83" w:lineRule="exact"/>
        <w:rPr>
          <w:sz w:val="20"/>
          <w:szCs w:val="20"/>
          <w:color w:val="auto"/>
        </w:rPr>
      </w:pPr>
    </w:p>
    <w:p>
      <w:pPr>
        <w:ind w:left="2080"/>
        <w:spacing w:after="0"/>
        <w:rPr>
          <w:sz w:val="20"/>
          <w:szCs w:val="20"/>
          <w:color w:val="auto"/>
        </w:rPr>
      </w:pPr>
      <w:r>
        <w:rPr>
          <w:rFonts w:ascii="Arial" w:cs="Arial" w:eastAsia="Arial" w:hAnsi="Arial"/>
          <w:sz w:val="20"/>
          <w:szCs w:val="20"/>
          <w:b w:val="1"/>
          <w:bCs w:val="1"/>
          <w:color w:val="FFFFFF"/>
        </w:rPr>
        <w:t>COUGH &amp; COLD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320"/>
        <w:spacing w:after="0"/>
        <w:rPr>
          <w:sz w:val="20"/>
          <w:szCs w:val="20"/>
          <w:color w:val="auto"/>
        </w:rPr>
      </w:pPr>
      <w:r>
        <w:rPr>
          <w:rFonts w:ascii="Arial" w:cs="Arial" w:eastAsia="Arial" w:hAnsi="Arial"/>
          <w:sz w:val="64"/>
          <w:szCs w:val="64"/>
          <w:color w:val="353E5E"/>
        </w:rPr>
        <w:t>11%</w:t>
      </w:r>
    </w:p>
    <w:p>
      <w:pPr>
        <w:spacing w:after="0" w:line="83"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353E5E"/>
        </w:rPr>
        <w:t>ANALGESICS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720"/>
        <w:spacing w:after="0"/>
        <w:rPr>
          <w:sz w:val="20"/>
          <w:szCs w:val="20"/>
          <w:color w:val="auto"/>
        </w:rPr>
      </w:pPr>
      <w:r>
        <w:rPr>
          <w:rFonts w:ascii="Arial" w:cs="Arial" w:eastAsia="Arial" w:hAnsi="Arial"/>
          <w:sz w:val="64"/>
          <w:szCs w:val="64"/>
          <w:color w:val="353E5E"/>
        </w:rPr>
        <w:t>12%</w:t>
      </w:r>
    </w:p>
    <w:p>
      <w:pPr>
        <w:spacing w:after="0" w:line="83"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353E5E"/>
        </w:rPr>
        <w:t>DERMATOLOGICALS</w:t>
      </w:r>
    </w:p>
    <w:p>
      <w:pPr>
        <w:spacing w:after="0" w:line="249" w:lineRule="exact"/>
        <w:rPr>
          <w:sz w:val="20"/>
          <w:szCs w:val="20"/>
          <w:color w:val="auto"/>
        </w:rPr>
      </w:pPr>
    </w:p>
    <w:p>
      <w:pPr>
        <w:ind w:left="3980"/>
        <w:spacing w:after="0"/>
        <w:rPr>
          <w:sz w:val="20"/>
          <w:szCs w:val="20"/>
          <w:color w:val="auto"/>
        </w:rPr>
      </w:pPr>
      <w:r>
        <w:rPr>
          <w:rFonts w:ascii="Arial" w:cs="Arial" w:eastAsia="Arial" w:hAnsi="Arial"/>
          <w:sz w:val="64"/>
          <w:szCs w:val="64"/>
          <w:color w:val="FFFFFF"/>
        </w:rPr>
        <w:t>13%</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FFFFFF"/>
        </w:rPr>
        <w:t>EYE &amp; EAR CARE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64"/>
          <w:szCs w:val="64"/>
          <w:color w:val="FFFFFF"/>
        </w:rPr>
        <w:t>24%</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GASTROINTESTINAL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Arial" w:cs="Arial" w:eastAsia="Arial" w:hAnsi="Arial"/>
          <w:sz w:val="64"/>
          <w:szCs w:val="64"/>
          <w:color w:val="FFFFFF"/>
        </w:rPr>
        <w:t>21%</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FFFFFF"/>
        </w:rPr>
        <w:t>WOMEN’S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2F2F2E"/>
        </w:rPr>
        <w:t>Note: Numbers are approximate,</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6"/>
          <w:szCs w:val="16"/>
          <w:color w:val="2F2F2E"/>
        </w:rPr>
        <w:t>Other OTC (1% of sales) not shown</w:t>
      </w:r>
    </w:p>
    <w:p>
      <w:pPr>
        <w:sectPr>
          <w:pgSz w:w="11880" w:h="15480" w:orient="portrait"/>
          <w:cols w:equalWidth="0" w:num="2">
            <w:col w:w="5620" w:space="680"/>
            <w:col w:w="3680"/>
          </w:cols>
          <w:pgMar w:left="980" w:top="1284" w:right="920" w:bottom="485" w:gutter="0" w:footer="0" w:header="0"/>
          <w:type w:val="continuous"/>
        </w:sectPr>
      </w:pPr>
    </w:p>
    <w:bookmarkStart w:id="4" w:name="page5"/>
    <w:bookmarkEnd w:id="4"/>
    <w:p>
      <w:pPr>
        <w:ind w:left="1"/>
        <w:spacing w:after="0"/>
        <w:rPr>
          <w:sz w:val="20"/>
          <w:szCs w:val="20"/>
          <w:color w:val="auto"/>
        </w:rPr>
      </w:pPr>
      <w:r>
        <w:rPr>
          <w:rFonts w:ascii="Arial" w:cs="Arial" w:eastAsia="Arial" w:hAnsi="Arial"/>
          <w:sz w:val="58"/>
          <w:szCs w:val="58"/>
          <w:color w:val="353E5E"/>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t xml:space="preserve">FINANCIAL </w:t>
      </w:r>
      <w:r>
        <w:rPr>
          <w:rFonts w:ascii="Arial" w:cs="Arial" w:eastAsia="Arial" w:hAnsi="Arial"/>
          <w:sz w:val="58"/>
          <w:szCs w:val="58"/>
          <w:b w:val="1"/>
          <w:bCs w:val="1"/>
          <w:color w:val="353E5E"/>
        </w:rPr>
        <w:t>HIGHLIGHTS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99060</wp:posOffset>
                </wp:positionV>
                <wp:extent cx="4064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400" cy="4763"/>
                        </a:xfrm>
                        <a:prstGeom prst="line">
                          <a:avLst/>
                        </a:prstGeom>
                        <a:solidFill>
                          <a:srgbClr val="FFFFFF"/>
                        </a:solidFill>
                        <a:ln w="63500">
                          <a:solidFill>
                            <a:srgbClr val="942D34"/>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pt" to="32pt,7.8pt" o:allowincell="f" strokecolor="#942D34" strokeweight="5pt"/>
            </w:pict>
          </mc:Fallback>
        </mc:AlternateContent>
      </w:r>
    </w:p>
    <w:p>
      <w:pPr>
        <w:spacing w:after="0" w:line="200" w:lineRule="exact"/>
        <w:rPr>
          <w:sz w:val="20"/>
          <w:szCs w:val="20"/>
          <w:color w:val="auto"/>
        </w:rPr>
      </w:pPr>
    </w:p>
    <w:p>
      <w:pPr>
        <w:spacing w:after="0" w:line="398" w:lineRule="exact"/>
        <w:rPr>
          <w:sz w:val="20"/>
          <w:szCs w:val="20"/>
          <w:color w:val="auto"/>
        </w:rPr>
      </w:pPr>
    </w:p>
    <w:tbl>
      <w:tblPr>
        <w:tblLayout w:type="fixed"/>
        <w:tblInd w:w="1" w:type="dxa"/>
        <w:tblCellMar>
          <w:top w:w="0" w:type="dxa"/>
          <w:left w:w="0" w:type="dxa"/>
          <w:bottom w:w="0" w:type="dxa"/>
          <w:right w:w="0" w:type="dxa"/>
        </w:tblCellMar>
      </w:tblPr>
      <w:tr>
        <w:trPr>
          <w:trHeight w:val="190"/>
        </w:trPr>
        <w:tc>
          <w:tcPr>
            <w:tcW w:w="3180" w:type="dxa"/>
            <w:vAlign w:val="bottom"/>
            <w:vMerge w:val="restart"/>
          </w:tcPr>
          <w:p>
            <w:pPr>
              <w:ind w:left="60"/>
              <w:spacing w:after="0"/>
              <w:rPr>
                <w:sz w:val="20"/>
                <w:szCs w:val="20"/>
                <w:color w:val="auto"/>
              </w:rPr>
            </w:pPr>
            <w:r>
              <w:rPr>
                <w:rFonts w:ascii="Arial" w:cs="Arial" w:eastAsia="Arial" w:hAnsi="Arial"/>
                <w:sz w:val="16"/>
                <w:szCs w:val="16"/>
                <w:b w:val="1"/>
                <w:bCs w:val="1"/>
                <w:color w:val="353E5E"/>
              </w:rPr>
              <w:t>(in thousands,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00" w:type="dxa"/>
            <w:vAlign w:val="bottom"/>
            <w:gridSpan w:val="5"/>
          </w:tcPr>
          <w:p>
            <w:pPr>
              <w:jc w:val="right"/>
              <w:ind w:right="991"/>
              <w:spacing w:after="0"/>
              <w:rPr>
                <w:sz w:val="20"/>
                <w:szCs w:val="20"/>
                <w:color w:val="auto"/>
              </w:rPr>
            </w:pPr>
            <w:r>
              <w:rPr>
                <w:rFonts w:ascii="Arial" w:cs="Arial" w:eastAsia="Arial" w:hAnsi="Arial"/>
                <w:sz w:val="16"/>
                <w:szCs w:val="16"/>
                <w:b w:val="1"/>
                <w:bCs w:val="1"/>
                <w:color w:val="353E5E"/>
              </w:rPr>
              <w:t>Fiscal Year Ended March 31,</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180" w:type="dxa"/>
            <w:vAlign w:val="bottom"/>
            <w:vMerge w:val="continue"/>
          </w:tcPr>
          <w:p>
            <w:pPr>
              <w:spacing w:after="0"/>
              <w:rPr>
                <w:sz w:val="4"/>
                <w:szCs w:val="4"/>
                <w:color w:val="auto"/>
              </w:rPr>
            </w:pPr>
          </w:p>
        </w:tc>
        <w:tc>
          <w:tcPr>
            <w:tcW w:w="300" w:type="dxa"/>
            <w:vAlign w:val="bottom"/>
            <w:tcBorders>
              <w:bottom w:val="single" w:sz="8" w:color="942D34"/>
            </w:tcBorders>
          </w:tcPr>
          <w:p>
            <w:pPr>
              <w:spacing w:after="0"/>
              <w:rPr>
                <w:sz w:val="4"/>
                <w:szCs w:val="4"/>
                <w:color w:val="auto"/>
              </w:rPr>
            </w:pPr>
          </w:p>
        </w:tc>
        <w:tc>
          <w:tcPr>
            <w:tcW w:w="1120" w:type="dxa"/>
            <w:vAlign w:val="bottom"/>
            <w:tcBorders>
              <w:bottom w:val="single" w:sz="8" w:color="942D34"/>
            </w:tcBorders>
          </w:tcPr>
          <w:p>
            <w:pPr>
              <w:spacing w:after="0"/>
              <w:rPr>
                <w:sz w:val="4"/>
                <w:szCs w:val="4"/>
                <w:color w:val="auto"/>
              </w:rPr>
            </w:pPr>
          </w:p>
        </w:tc>
        <w:tc>
          <w:tcPr>
            <w:tcW w:w="260" w:type="dxa"/>
            <w:vAlign w:val="bottom"/>
            <w:tcBorders>
              <w:bottom w:val="single" w:sz="8" w:color="942D34"/>
            </w:tcBorders>
          </w:tcPr>
          <w:p>
            <w:pPr>
              <w:spacing w:after="0"/>
              <w:rPr>
                <w:sz w:val="4"/>
                <w:szCs w:val="4"/>
                <w:color w:val="auto"/>
              </w:rPr>
            </w:pPr>
          </w:p>
        </w:tc>
        <w:tc>
          <w:tcPr>
            <w:tcW w:w="1140" w:type="dxa"/>
            <w:vAlign w:val="bottom"/>
            <w:tcBorders>
              <w:bottom w:val="single" w:sz="8" w:color="942D34"/>
            </w:tcBorders>
          </w:tcPr>
          <w:p>
            <w:pPr>
              <w:spacing w:after="0"/>
              <w:rPr>
                <w:sz w:val="4"/>
                <w:szCs w:val="4"/>
                <w:color w:val="auto"/>
              </w:rPr>
            </w:pPr>
          </w:p>
        </w:tc>
        <w:tc>
          <w:tcPr>
            <w:tcW w:w="240" w:type="dxa"/>
            <w:vAlign w:val="bottom"/>
            <w:tcBorders>
              <w:bottom w:val="single" w:sz="8" w:color="942D34"/>
            </w:tcBorders>
          </w:tcPr>
          <w:p>
            <w:pPr>
              <w:spacing w:after="0"/>
              <w:rPr>
                <w:sz w:val="4"/>
                <w:szCs w:val="4"/>
                <w:color w:val="auto"/>
              </w:rPr>
            </w:pPr>
          </w:p>
        </w:tc>
        <w:tc>
          <w:tcPr>
            <w:tcW w:w="1140" w:type="dxa"/>
            <w:vAlign w:val="bottom"/>
            <w:tcBorders>
              <w:bottom w:val="single" w:sz="8" w:color="942D34"/>
            </w:tcBorders>
          </w:tcPr>
          <w:p>
            <w:pPr>
              <w:spacing w:after="0"/>
              <w:rPr>
                <w:sz w:val="4"/>
                <w:szCs w:val="4"/>
                <w:color w:val="auto"/>
              </w:rPr>
            </w:pPr>
          </w:p>
        </w:tc>
        <w:tc>
          <w:tcPr>
            <w:tcW w:w="240" w:type="dxa"/>
            <w:vAlign w:val="bottom"/>
            <w:tcBorders>
              <w:bottom w:val="single" w:sz="8" w:color="942D34"/>
            </w:tcBorders>
          </w:tcPr>
          <w:p>
            <w:pPr>
              <w:spacing w:after="0"/>
              <w:rPr>
                <w:sz w:val="4"/>
                <w:szCs w:val="4"/>
                <w:color w:val="auto"/>
              </w:rPr>
            </w:pPr>
          </w:p>
        </w:tc>
        <w:tc>
          <w:tcPr>
            <w:tcW w:w="1140" w:type="dxa"/>
            <w:vAlign w:val="bottom"/>
            <w:tcBorders>
              <w:bottom w:val="single" w:sz="8" w:color="942D34"/>
            </w:tcBorders>
          </w:tcPr>
          <w:p>
            <w:pPr>
              <w:spacing w:after="0"/>
              <w:rPr>
                <w:sz w:val="4"/>
                <w:szCs w:val="4"/>
                <w:color w:val="auto"/>
              </w:rPr>
            </w:pPr>
          </w:p>
        </w:tc>
        <w:tc>
          <w:tcPr>
            <w:tcW w:w="260" w:type="dxa"/>
            <w:vAlign w:val="bottom"/>
            <w:tcBorders>
              <w:bottom w:val="single" w:sz="8" w:color="942D34"/>
            </w:tcBorders>
          </w:tcPr>
          <w:p>
            <w:pPr>
              <w:spacing w:after="0"/>
              <w:rPr>
                <w:sz w:val="4"/>
                <w:szCs w:val="4"/>
                <w:color w:val="auto"/>
              </w:rPr>
            </w:pPr>
          </w:p>
        </w:tc>
        <w:tc>
          <w:tcPr>
            <w:tcW w:w="1060" w:type="dxa"/>
            <w:vAlign w:val="bottom"/>
            <w:tcBorders>
              <w:bottom w:val="single" w:sz="8" w:color="942D34"/>
            </w:tcBorders>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31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180" w:type="dxa"/>
            <w:vAlign w:val="bottom"/>
          </w:tcPr>
          <w:p>
            <w:pPr>
              <w:ind w:left="60"/>
              <w:spacing w:after="0"/>
              <w:rPr>
                <w:sz w:val="20"/>
                <w:szCs w:val="20"/>
                <w:color w:val="auto"/>
              </w:rPr>
            </w:pPr>
            <w:r>
              <w:rPr>
                <w:rFonts w:ascii="Arial" w:cs="Arial" w:eastAsia="Arial" w:hAnsi="Arial"/>
                <w:sz w:val="16"/>
                <w:szCs w:val="16"/>
                <w:b w:val="1"/>
                <w:bCs w:val="1"/>
                <w:color w:val="353E5E"/>
              </w:rPr>
              <w:t>except per share amounts)</w:t>
            </w:r>
          </w:p>
        </w:tc>
        <w:tc>
          <w:tcPr>
            <w:tcW w:w="300" w:type="dxa"/>
            <w:vAlign w:val="bottom"/>
          </w:tcPr>
          <w:p>
            <w:pPr>
              <w:spacing w:after="0"/>
              <w:rPr>
                <w:sz w:val="16"/>
                <w:szCs w:val="16"/>
                <w:color w:val="auto"/>
              </w:rPr>
            </w:pPr>
          </w:p>
        </w:tc>
        <w:tc>
          <w:tcPr>
            <w:tcW w:w="1120" w:type="dxa"/>
            <w:vAlign w:val="bottom"/>
          </w:tcPr>
          <w:p>
            <w:pPr>
              <w:jc w:val="right"/>
              <w:ind w:right="211"/>
              <w:spacing w:after="0"/>
              <w:rPr>
                <w:sz w:val="20"/>
                <w:szCs w:val="20"/>
                <w:color w:val="auto"/>
              </w:rPr>
            </w:pPr>
            <w:r>
              <w:rPr>
                <w:rFonts w:ascii="Arial" w:cs="Arial" w:eastAsia="Arial" w:hAnsi="Arial"/>
                <w:sz w:val="16"/>
                <w:szCs w:val="16"/>
                <w:b w:val="1"/>
                <w:bCs w:val="1"/>
                <w:color w:val="353E5E"/>
              </w:rPr>
              <w:t>2026</w:t>
            </w:r>
          </w:p>
        </w:tc>
        <w:tc>
          <w:tcPr>
            <w:tcW w:w="260" w:type="dxa"/>
            <w:vAlign w:val="bottom"/>
          </w:tcPr>
          <w:p>
            <w:pPr>
              <w:spacing w:after="0"/>
              <w:rPr>
                <w:sz w:val="16"/>
                <w:szCs w:val="16"/>
                <w:color w:val="auto"/>
              </w:rPr>
            </w:pPr>
          </w:p>
        </w:tc>
        <w:tc>
          <w:tcPr>
            <w:tcW w:w="1140" w:type="dxa"/>
            <w:vAlign w:val="bottom"/>
          </w:tcPr>
          <w:p>
            <w:pPr>
              <w:jc w:val="right"/>
              <w:ind w:right="231"/>
              <w:spacing w:after="0"/>
              <w:rPr>
                <w:sz w:val="20"/>
                <w:szCs w:val="20"/>
                <w:color w:val="auto"/>
              </w:rPr>
            </w:pPr>
            <w:r>
              <w:rPr>
                <w:rFonts w:ascii="Arial" w:cs="Arial" w:eastAsia="Arial" w:hAnsi="Arial"/>
                <w:sz w:val="16"/>
                <w:szCs w:val="16"/>
                <w:b w:val="1"/>
                <w:bCs w:val="1"/>
                <w:color w:val="353E5E"/>
              </w:rPr>
              <w:t>2025</w:t>
            </w:r>
          </w:p>
        </w:tc>
        <w:tc>
          <w:tcPr>
            <w:tcW w:w="240" w:type="dxa"/>
            <w:vAlign w:val="bottom"/>
          </w:tcPr>
          <w:p>
            <w:pPr>
              <w:spacing w:after="0"/>
              <w:rPr>
                <w:sz w:val="16"/>
                <w:szCs w:val="16"/>
                <w:color w:val="auto"/>
              </w:rPr>
            </w:pPr>
          </w:p>
        </w:tc>
        <w:tc>
          <w:tcPr>
            <w:tcW w:w="1140" w:type="dxa"/>
            <w:vAlign w:val="bottom"/>
          </w:tcPr>
          <w:p>
            <w:pPr>
              <w:jc w:val="right"/>
              <w:ind w:right="231"/>
              <w:spacing w:after="0"/>
              <w:rPr>
                <w:sz w:val="20"/>
                <w:szCs w:val="20"/>
                <w:color w:val="auto"/>
              </w:rPr>
            </w:pPr>
            <w:r>
              <w:rPr>
                <w:rFonts w:ascii="Arial" w:cs="Arial" w:eastAsia="Arial" w:hAnsi="Arial"/>
                <w:sz w:val="16"/>
                <w:szCs w:val="16"/>
                <w:b w:val="1"/>
                <w:bCs w:val="1"/>
                <w:color w:val="353E5E"/>
              </w:rPr>
              <w:t>2024</w:t>
            </w:r>
          </w:p>
        </w:tc>
        <w:tc>
          <w:tcPr>
            <w:tcW w:w="240" w:type="dxa"/>
            <w:vAlign w:val="bottom"/>
          </w:tcPr>
          <w:p>
            <w:pPr>
              <w:spacing w:after="0"/>
              <w:rPr>
                <w:sz w:val="16"/>
                <w:szCs w:val="16"/>
                <w:color w:val="auto"/>
              </w:rPr>
            </w:pPr>
          </w:p>
        </w:tc>
        <w:tc>
          <w:tcPr>
            <w:tcW w:w="1140" w:type="dxa"/>
            <w:vAlign w:val="bottom"/>
          </w:tcPr>
          <w:p>
            <w:pPr>
              <w:jc w:val="right"/>
              <w:ind w:right="231"/>
              <w:spacing w:after="0"/>
              <w:rPr>
                <w:sz w:val="20"/>
                <w:szCs w:val="20"/>
                <w:color w:val="auto"/>
              </w:rPr>
            </w:pPr>
            <w:r>
              <w:rPr>
                <w:rFonts w:ascii="Arial" w:cs="Arial" w:eastAsia="Arial" w:hAnsi="Arial"/>
                <w:sz w:val="16"/>
                <w:szCs w:val="16"/>
                <w:b w:val="1"/>
                <w:bCs w:val="1"/>
                <w:color w:val="353E5E"/>
              </w:rPr>
              <w:t>2023</w:t>
            </w:r>
          </w:p>
        </w:tc>
        <w:tc>
          <w:tcPr>
            <w:tcW w:w="260" w:type="dxa"/>
            <w:vAlign w:val="bottom"/>
          </w:tcPr>
          <w:p>
            <w:pPr>
              <w:spacing w:after="0"/>
              <w:rPr>
                <w:sz w:val="16"/>
                <w:szCs w:val="16"/>
                <w:color w:val="auto"/>
              </w:rPr>
            </w:pPr>
          </w:p>
        </w:tc>
        <w:tc>
          <w:tcPr>
            <w:tcW w:w="1060" w:type="dxa"/>
            <w:vAlign w:val="bottom"/>
          </w:tcPr>
          <w:p>
            <w:pPr>
              <w:jc w:val="right"/>
              <w:ind w:right="151"/>
              <w:spacing w:after="0"/>
              <w:rPr>
                <w:sz w:val="20"/>
                <w:szCs w:val="20"/>
                <w:color w:val="auto"/>
              </w:rPr>
            </w:pPr>
            <w:r>
              <w:rPr>
                <w:rFonts w:ascii="Arial" w:cs="Arial" w:eastAsia="Arial" w:hAnsi="Arial"/>
                <w:sz w:val="16"/>
                <w:szCs w:val="16"/>
                <w:b w:val="1"/>
                <w:bCs w:val="1"/>
                <w:color w:val="353E5E"/>
              </w:rPr>
              <w:t>2022</w:t>
            </w:r>
          </w:p>
        </w:tc>
        <w:tc>
          <w:tcPr>
            <w:tcW w:w="0" w:type="dxa"/>
            <w:vAlign w:val="bottom"/>
          </w:tcPr>
          <w:p>
            <w:pPr>
              <w:spacing w:after="0"/>
              <w:rPr>
                <w:sz w:val="1"/>
                <w:szCs w:val="1"/>
                <w:color w:val="auto"/>
              </w:rPr>
            </w:pPr>
          </w:p>
        </w:tc>
      </w:tr>
      <w:tr>
        <w:trPr>
          <w:trHeight w:val="54"/>
        </w:trPr>
        <w:tc>
          <w:tcPr>
            <w:tcW w:w="3180" w:type="dxa"/>
            <w:vAlign w:val="bottom"/>
            <w:tcBorders>
              <w:bottom w:val="single" w:sz="8" w:color="942D34"/>
            </w:tcBorders>
          </w:tcPr>
          <w:p>
            <w:pPr>
              <w:spacing w:after="0"/>
              <w:rPr>
                <w:sz w:val="4"/>
                <w:szCs w:val="4"/>
                <w:color w:val="auto"/>
              </w:rPr>
            </w:pPr>
          </w:p>
        </w:tc>
        <w:tc>
          <w:tcPr>
            <w:tcW w:w="300" w:type="dxa"/>
            <w:vAlign w:val="bottom"/>
            <w:tcBorders>
              <w:bottom w:val="single" w:sz="8" w:color="942D34"/>
            </w:tcBorders>
          </w:tcPr>
          <w:p>
            <w:pPr>
              <w:spacing w:after="0"/>
              <w:rPr>
                <w:sz w:val="4"/>
                <w:szCs w:val="4"/>
                <w:color w:val="auto"/>
              </w:rPr>
            </w:pPr>
          </w:p>
        </w:tc>
        <w:tc>
          <w:tcPr>
            <w:tcW w:w="1120" w:type="dxa"/>
            <w:vAlign w:val="bottom"/>
            <w:tcBorders>
              <w:bottom w:val="single" w:sz="8" w:color="942D34"/>
            </w:tcBorders>
          </w:tcPr>
          <w:p>
            <w:pPr>
              <w:spacing w:after="0"/>
              <w:rPr>
                <w:sz w:val="4"/>
                <w:szCs w:val="4"/>
                <w:color w:val="auto"/>
              </w:rPr>
            </w:pPr>
          </w:p>
        </w:tc>
        <w:tc>
          <w:tcPr>
            <w:tcW w:w="260" w:type="dxa"/>
            <w:vAlign w:val="bottom"/>
            <w:tcBorders>
              <w:bottom w:val="single" w:sz="8" w:color="942D34"/>
            </w:tcBorders>
          </w:tcPr>
          <w:p>
            <w:pPr>
              <w:spacing w:after="0"/>
              <w:rPr>
                <w:sz w:val="4"/>
                <w:szCs w:val="4"/>
                <w:color w:val="auto"/>
              </w:rPr>
            </w:pPr>
          </w:p>
        </w:tc>
        <w:tc>
          <w:tcPr>
            <w:tcW w:w="1140" w:type="dxa"/>
            <w:vAlign w:val="bottom"/>
            <w:tcBorders>
              <w:bottom w:val="single" w:sz="8" w:color="942D34"/>
            </w:tcBorders>
          </w:tcPr>
          <w:p>
            <w:pPr>
              <w:spacing w:after="0"/>
              <w:rPr>
                <w:sz w:val="4"/>
                <w:szCs w:val="4"/>
                <w:color w:val="auto"/>
              </w:rPr>
            </w:pPr>
          </w:p>
        </w:tc>
        <w:tc>
          <w:tcPr>
            <w:tcW w:w="240" w:type="dxa"/>
            <w:vAlign w:val="bottom"/>
            <w:tcBorders>
              <w:bottom w:val="single" w:sz="8" w:color="942D34"/>
            </w:tcBorders>
          </w:tcPr>
          <w:p>
            <w:pPr>
              <w:spacing w:after="0"/>
              <w:rPr>
                <w:sz w:val="4"/>
                <w:szCs w:val="4"/>
                <w:color w:val="auto"/>
              </w:rPr>
            </w:pPr>
          </w:p>
        </w:tc>
        <w:tc>
          <w:tcPr>
            <w:tcW w:w="1140" w:type="dxa"/>
            <w:vAlign w:val="bottom"/>
            <w:tcBorders>
              <w:bottom w:val="single" w:sz="8" w:color="942D34"/>
            </w:tcBorders>
          </w:tcPr>
          <w:p>
            <w:pPr>
              <w:spacing w:after="0"/>
              <w:rPr>
                <w:sz w:val="4"/>
                <w:szCs w:val="4"/>
                <w:color w:val="auto"/>
              </w:rPr>
            </w:pPr>
          </w:p>
        </w:tc>
        <w:tc>
          <w:tcPr>
            <w:tcW w:w="240" w:type="dxa"/>
            <w:vAlign w:val="bottom"/>
            <w:tcBorders>
              <w:bottom w:val="single" w:sz="8" w:color="942D34"/>
            </w:tcBorders>
          </w:tcPr>
          <w:p>
            <w:pPr>
              <w:spacing w:after="0"/>
              <w:rPr>
                <w:sz w:val="4"/>
                <w:szCs w:val="4"/>
                <w:color w:val="auto"/>
              </w:rPr>
            </w:pPr>
          </w:p>
        </w:tc>
        <w:tc>
          <w:tcPr>
            <w:tcW w:w="1140" w:type="dxa"/>
            <w:vAlign w:val="bottom"/>
            <w:tcBorders>
              <w:bottom w:val="single" w:sz="8" w:color="942D34"/>
            </w:tcBorders>
          </w:tcPr>
          <w:p>
            <w:pPr>
              <w:spacing w:after="0"/>
              <w:rPr>
                <w:sz w:val="4"/>
                <w:szCs w:val="4"/>
                <w:color w:val="auto"/>
              </w:rPr>
            </w:pPr>
          </w:p>
        </w:tc>
        <w:tc>
          <w:tcPr>
            <w:tcW w:w="260" w:type="dxa"/>
            <w:vAlign w:val="bottom"/>
            <w:tcBorders>
              <w:bottom w:val="single" w:sz="8" w:color="942D34"/>
            </w:tcBorders>
          </w:tcPr>
          <w:p>
            <w:pPr>
              <w:spacing w:after="0"/>
              <w:rPr>
                <w:sz w:val="4"/>
                <w:szCs w:val="4"/>
                <w:color w:val="auto"/>
              </w:rPr>
            </w:pPr>
          </w:p>
        </w:tc>
        <w:tc>
          <w:tcPr>
            <w:tcW w:w="1060" w:type="dxa"/>
            <w:vAlign w:val="bottom"/>
            <w:tcBorders>
              <w:bottom w:val="single" w:sz="8" w:color="942D34"/>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180" w:type="dxa"/>
            <w:vAlign w:val="bottom"/>
          </w:tcPr>
          <w:p>
            <w:pPr>
              <w:ind w:left="60"/>
              <w:spacing w:after="0"/>
              <w:rPr>
                <w:sz w:val="20"/>
                <w:szCs w:val="20"/>
                <w:color w:val="auto"/>
              </w:rPr>
            </w:pPr>
            <w:r>
              <w:rPr>
                <w:rFonts w:ascii="Arial" w:cs="Arial" w:eastAsia="Arial" w:hAnsi="Arial"/>
                <w:sz w:val="18"/>
                <w:szCs w:val="18"/>
                <w:color w:val="2F2F2E"/>
              </w:rPr>
              <w:t>Total Revenues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2F2F2E"/>
              </w:rPr>
              <w:t>$</w:t>
            </w:r>
          </w:p>
        </w:tc>
        <w:tc>
          <w:tcPr>
            <w:tcW w:w="1120" w:type="dxa"/>
            <w:vAlign w:val="bottom"/>
          </w:tcPr>
          <w:p>
            <w:pPr>
              <w:jc w:val="right"/>
              <w:ind w:right="211"/>
              <w:spacing w:after="0"/>
              <w:rPr>
                <w:sz w:val="20"/>
                <w:szCs w:val="20"/>
                <w:color w:val="auto"/>
              </w:rPr>
            </w:pPr>
            <w:r>
              <w:rPr>
                <w:rFonts w:ascii="Arial" w:cs="Arial" w:eastAsia="Arial" w:hAnsi="Arial"/>
                <w:sz w:val="18"/>
                <w:szCs w:val="18"/>
                <w:b w:val="1"/>
                <w:bCs w:val="1"/>
                <w:color w:val="2F2F2E"/>
                <w:w w:val="99"/>
              </w:rPr>
              <w:t>1,088,705</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w w:val="99"/>
              </w:rPr>
              <w:t>1,137,762</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w w:val="99"/>
              </w:rPr>
              <w:t>1,125,357</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w w:val="99"/>
              </w:rPr>
              <w:t>1,127,725</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2F2F2E"/>
                <w:w w:val="99"/>
              </w:rPr>
              <w:t>1,086,812</w:t>
            </w:r>
          </w:p>
        </w:tc>
        <w:tc>
          <w:tcPr>
            <w:tcW w:w="0" w:type="dxa"/>
            <w:vAlign w:val="bottom"/>
          </w:tcPr>
          <w:p>
            <w:pPr>
              <w:spacing w:after="0"/>
              <w:rPr>
                <w:sz w:val="1"/>
                <w:szCs w:val="1"/>
                <w:color w:val="auto"/>
              </w:rPr>
            </w:pPr>
          </w:p>
        </w:tc>
      </w:tr>
      <w:tr>
        <w:trPr>
          <w:trHeight w:val="329"/>
        </w:trPr>
        <w:tc>
          <w:tcPr>
            <w:tcW w:w="3180" w:type="dxa"/>
            <w:vAlign w:val="bottom"/>
          </w:tcPr>
          <w:p>
            <w:pPr>
              <w:ind w:left="60"/>
              <w:spacing w:after="0"/>
              <w:rPr>
                <w:sz w:val="20"/>
                <w:szCs w:val="20"/>
                <w:color w:val="auto"/>
              </w:rPr>
            </w:pPr>
            <w:r>
              <w:rPr>
                <w:rFonts w:ascii="Arial" w:cs="Arial" w:eastAsia="Arial" w:hAnsi="Arial"/>
                <w:sz w:val="18"/>
                <w:szCs w:val="18"/>
                <w:color w:val="2F2F2E"/>
              </w:rPr>
              <w:t>Adjusted EBITDA*</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2F2F2E"/>
              </w:rPr>
              <w:t>$</w:t>
            </w:r>
          </w:p>
        </w:tc>
        <w:tc>
          <w:tcPr>
            <w:tcW w:w="1120" w:type="dxa"/>
            <w:vAlign w:val="bottom"/>
          </w:tcPr>
          <w:p>
            <w:pPr>
              <w:jc w:val="right"/>
              <w:ind w:right="211"/>
              <w:spacing w:after="0"/>
              <w:rPr>
                <w:sz w:val="20"/>
                <w:szCs w:val="20"/>
                <w:color w:val="auto"/>
              </w:rPr>
            </w:pPr>
            <w:r>
              <w:rPr>
                <w:rFonts w:ascii="Arial" w:cs="Arial" w:eastAsia="Arial" w:hAnsi="Arial"/>
                <w:sz w:val="18"/>
                <w:szCs w:val="18"/>
                <w:b w:val="1"/>
                <w:bCs w:val="1"/>
                <w:color w:val="2F2F2E"/>
              </w:rPr>
              <w:t>353,770</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374,460</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373,860</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378,091</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2F2F2E"/>
              </w:rPr>
              <w:t>367,653</w:t>
            </w:r>
          </w:p>
        </w:tc>
        <w:tc>
          <w:tcPr>
            <w:tcW w:w="0" w:type="dxa"/>
            <w:vAlign w:val="bottom"/>
          </w:tcPr>
          <w:p>
            <w:pPr>
              <w:spacing w:after="0"/>
              <w:rPr>
                <w:sz w:val="1"/>
                <w:szCs w:val="1"/>
                <w:color w:val="auto"/>
              </w:rPr>
            </w:pPr>
          </w:p>
        </w:tc>
      </w:tr>
      <w:tr>
        <w:trPr>
          <w:trHeight w:val="329"/>
        </w:trPr>
        <w:tc>
          <w:tcPr>
            <w:tcW w:w="3180" w:type="dxa"/>
            <w:vAlign w:val="bottom"/>
          </w:tcPr>
          <w:p>
            <w:pPr>
              <w:ind w:left="60"/>
              <w:spacing w:after="0"/>
              <w:rPr>
                <w:sz w:val="20"/>
                <w:szCs w:val="20"/>
                <w:color w:val="auto"/>
              </w:rPr>
            </w:pPr>
            <w:r>
              <w:rPr>
                <w:rFonts w:ascii="Arial" w:cs="Arial" w:eastAsia="Arial" w:hAnsi="Arial"/>
                <w:sz w:val="18"/>
                <w:szCs w:val="18"/>
                <w:color w:val="2F2F2E"/>
              </w:rPr>
              <w:t>Net Income (Loss)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2F2F2E"/>
              </w:rPr>
              <w:t>$</w:t>
            </w:r>
          </w:p>
        </w:tc>
        <w:tc>
          <w:tcPr>
            <w:tcW w:w="1120" w:type="dxa"/>
            <w:vAlign w:val="bottom"/>
          </w:tcPr>
          <w:p>
            <w:pPr>
              <w:jc w:val="right"/>
              <w:ind w:right="211"/>
              <w:spacing w:after="0"/>
              <w:rPr>
                <w:sz w:val="20"/>
                <w:szCs w:val="20"/>
                <w:color w:val="auto"/>
              </w:rPr>
            </w:pPr>
            <w:r>
              <w:rPr>
                <w:rFonts w:ascii="Arial" w:cs="Arial" w:eastAsia="Arial" w:hAnsi="Arial"/>
                <w:sz w:val="18"/>
                <w:szCs w:val="18"/>
                <w:b w:val="1"/>
                <w:bCs w:val="1"/>
                <w:color w:val="2F2F2E"/>
              </w:rPr>
              <w:t>190,301</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214,605</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209,339</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(82,306)</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2F2F2E"/>
              </w:rPr>
              <w:t>205,381</w:t>
            </w:r>
          </w:p>
        </w:tc>
        <w:tc>
          <w:tcPr>
            <w:tcW w:w="0" w:type="dxa"/>
            <w:vAlign w:val="bottom"/>
          </w:tcPr>
          <w:p>
            <w:pPr>
              <w:spacing w:after="0"/>
              <w:rPr>
                <w:sz w:val="1"/>
                <w:szCs w:val="1"/>
                <w:color w:val="auto"/>
              </w:rPr>
            </w:pPr>
          </w:p>
        </w:tc>
      </w:tr>
      <w:tr>
        <w:trPr>
          <w:trHeight w:val="329"/>
        </w:trPr>
        <w:tc>
          <w:tcPr>
            <w:tcW w:w="3180" w:type="dxa"/>
            <w:vAlign w:val="bottom"/>
          </w:tcPr>
          <w:p>
            <w:pPr>
              <w:ind w:left="60"/>
              <w:spacing w:after="0"/>
              <w:rPr>
                <w:sz w:val="20"/>
                <w:szCs w:val="20"/>
                <w:color w:val="auto"/>
              </w:rPr>
            </w:pPr>
            <w:r>
              <w:rPr>
                <w:rFonts w:ascii="Arial" w:cs="Arial" w:eastAsia="Arial" w:hAnsi="Arial"/>
                <w:sz w:val="18"/>
                <w:szCs w:val="18"/>
                <w:color w:val="2F2F2E"/>
              </w:rPr>
              <w:t>Adjusted Net Income*</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2F2F2E"/>
              </w:rPr>
              <w:t>$</w:t>
            </w:r>
          </w:p>
        </w:tc>
        <w:tc>
          <w:tcPr>
            <w:tcW w:w="1120" w:type="dxa"/>
            <w:vAlign w:val="bottom"/>
          </w:tcPr>
          <w:p>
            <w:pPr>
              <w:jc w:val="right"/>
              <w:ind w:right="211"/>
              <w:spacing w:after="0"/>
              <w:rPr>
                <w:sz w:val="20"/>
                <w:szCs w:val="20"/>
                <w:color w:val="auto"/>
              </w:rPr>
            </w:pPr>
            <w:r>
              <w:rPr>
                <w:rFonts w:ascii="Arial" w:cs="Arial" w:eastAsia="Arial" w:hAnsi="Arial"/>
                <w:sz w:val="18"/>
                <w:szCs w:val="18"/>
                <w:b w:val="1"/>
                <w:bCs w:val="1"/>
                <w:color w:val="2F2F2E"/>
              </w:rPr>
              <w:t>213,344</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226,346</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211,322</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211,974</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2F2F2E"/>
              </w:rPr>
              <w:t>206,310</w:t>
            </w:r>
          </w:p>
        </w:tc>
        <w:tc>
          <w:tcPr>
            <w:tcW w:w="0" w:type="dxa"/>
            <w:vAlign w:val="bottom"/>
          </w:tcPr>
          <w:p>
            <w:pPr>
              <w:spacing w:after="0"/>
              <w:rPr>
                <w:sz w:val="1"/>
                <w:szCs w:val="1"/>
                <w:color w:val="auto"/>
              </w:rPr>
            </w:pPr>
          </w:p>
        </w:tc>
      </w:tr>
      <w:tr>
        <w:trPr>
          <w:trHeight w:val="329"/>
        </w:trPr>
        <w:tc>
          <w:tcPr>
            <w:tcW w:w="3180" w:type="dxa"/>
            <w:vAlign w:val="bottom"/>
          </w:tcPr>
          <w:p>
            <w:pPr>
              <w:ind w:left="60"/>
              <w:spacing w:after="0"/>
              <w:rPr>
                <w:sz w:val="20"/>
                <w:szCs w:val="20"/>
                <w:color w:val="auto"/>
              </w:rPr>
            </w:pPr>
            <w:r>
              <w:rPr>
                <w:rFonts w:ascii="Arial" w:cs="Arial" w:eastAsia="Arial" w:hAnsi="Arial"/>
                <w:sz w:val="18"/>
                <w:szCs w:val="18"/>
                <w:color w:val="2F2F2E"/>
              </w:rPr>
              <w:t>Earnings (Loss) Per Share-Diluted</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2F2F2E"/>
              </w:rPr>
              <w:t>$</w:t>
            </w:r>
          </w:p>
        </w:tc>
        <w:tc>
          <w:tcPr>
            <w:tcW w:w="1120" w:type="dxa"/>
            <w:vAlign w:val="bottom"/>
          </w:tcPr>
          <w:p>
            <w:pPr>
              <w:jc w:val="right"/>
              <w:ind w:right="211"/>
              <w:spacing w:after="0"/>
              <w:rPr>
                <w:sz w:val="20"/>
                <w:szCs w:val="20"/>
                <w:color w:val="auto"/>
              </w:rPr>
            </w:pPr>
            <w:r>
              <w:rPr>
                <w:rFonts w:ascii="Arial" w:cs="Arial" w:eastAsia="Arial" w:hAnsi="Arial"/>
                <w:sz w:val="18"/>
                <w:szCs w:val="18"/>
                <w:b w:val="1"/>
                <w:bCs w:val="1"/>
                <w:color w:val="2F2F2E"/>
              </w:rPr>
              <w:t>3.91</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4.29</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4.17</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(1.63)</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2F2F2E"/>
              </w:rPr>
              <w:t>4.04</w:t>
            </w:r>
          </w:p>
        </w:tc>
        <w:tc>
          <w:tcPr>
            <w:tcW w:w="0" w:type="dxa"/>
            <w:vAlign w:val="bottom"/>
          </w:tcPr>
          <w:p>
            <w:pPr>
              <w:spacing w:after="0"/>
              <w:rPr>
                <w:sz w:val="1"/>
                <w:szCs w:val="1"/>
                <w:color w:val="auto"/>
              </w:rPr>
            </w:pPr>
          </w:p>
        </w:tc>
      </w:tr>
      <w:tr>
        <w:trPr>
          <w:trHeight w:val="329"/>
        </w:trPr>
        <w:tc>
          <w:tcPr>
            <w:tcW w:w="3180" w:type="dxa"/>
            <w:vAlign w:val="bottom"/>
          </w:tcPr>
          <w:p>
            <w:pPr>
              <w:ind w:left="60"/>
              <w:spacing w:after="0"/>
              <w:rPr>
                <w:sz w:val="20"/>
                <w:szCs w:val="20"/>
                <w:color w:val="auto"/>
              </w:rPr>
            </w:pPr>
            <w:r>
              <w:rPr>
                <w:rFonts w:ascii="Arial" w:cs="Arial" w:eastAsia="Arial" w:hAnsi="Arial"/>
                <w:sz w:val="18"/>
                <w:szCs w:val="18"/>
                <w:color w:val="2F2F2E"/>
              </w:rPr>
              <w:t>Adjusted Earnings Per Share-Diluted*</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2F2F2E"/>
              </w:rPr>
              <w:t>$</w:t>
            </w:r>
          </w:p>
        </w:tc>
        <w:tc>
          <w:tcPr>
            <w:tcW w:w="1120" w:type="dxa"/>
            <w:vAlign w:val="bottom"/>
          </w:tcPr>
          <w:p>
            <w:pPr>
              <w:jc w:val="right"/>
              <w:ind w:right="211"/>
              <w:spacing w:after="0"/>
              <w:rPr>
                <w:sz w:val="20"/>
                <w:szCs w:val="20"/>
                <w:color w:val="auto"/>
              </w:rPr>
            </w:pPr>
            <w:r>
              <w:rPr>
                <w:rFonts w:ascii="Arial" w:cs="Arial" w:eastAsia="Arial" w:hAnsi="Arial"/>
                <w:sz w:val="18"/>
                <w:szCs w:val="18"/>
                <w:b w:val="1"/>
                <w:bCs w:val="1"/>
                <w:color w:val="2F2F2E"/>
              </w:rPr>
              <w:t>4.38</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4.52</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4.21</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4.21</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2F2F2E"/>
              </w:rPr>
              <w:t>4.06</w:t>
            </w:r>
          </w:p>
        </w:tc>
        <w:tc>
          <w:tcPr>
            <w:tcW w:w="0" w:type="dxa"/>
            <w:vAlign w:val="bottom"/>
          </w:tcPr>
          <w:p>
            <w:pPr>
              <w:spacing w:after="0"/>
              <w:rPr>
                <w:sz w:val="1"/>
                <w:szCs w:val="1"/>
                <w:color w:val="auto"/>
              </w:rPr>
            </w:pPr>
          </w:p>
        </w:tc>
      </w:tr>
      <w:tr>
        <w:trPr>
          <w:trHeight w:val="328"/>
        </w:trPr>
        <w:tc>
          <w:tcPr>
            <w:tcW w:w="3180" w:type="dxa"/>
            <w:vAlign w:val="bottom"/>
          </w:tcPr>
          <w:p>
            <w:pPr>
              <w:ind w:left="60"/>
              <w:spacing w:after="0"/>
              <w:rPr>
                <w:sz w:val="20"/>
                <w:szCs w:val="20"/>
                <w:color w:val="auto"/>
              </w:rPr>
            </w:pPr>
            <w:r>
              <w:rPr>
                <w:rFonts w:ascii="Arial" w:cs="Arial" w:eastAsia="Arial" w:hAnsi="Arial"/>
                <w:sz w:val="18"/>
                <w:szCs w:val="18"/>
                <w:color w:val="2F2F2E"/>
              </w:rPr>
              <w:t>Weighted Average Shares</w:t>
            </w:r>
          </w:p>
        </w:tc>
        <w:tc>
          <w:tcPr>
            <w:tcW w:w="300" w:type="dxa"/>
            <w:vAlign w:val="bottom"/>
          </w:tcPr>
          <w:p>
            <w:pPr>
              <w:spacing w:after="0"/>
              <w:rPr>
                <w:sz w:val="24"/>
                <w:szCs w:val="24"/>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b w:val="1"/>
                <w:bCs w:val="1"/>
                <w:color w:val="2F2F2E"/>
              </w:rPr>
              <w:t>48,720</w:t>
            </w:r>
          </w:p>
        </w:tc>
        <w:tc>
          <w:tcPr>
            <w:tcW w:w="260" w:type="dxa"/>
            <w:vAlign w:val="bottom"/>
          </w:tcPr>
          <w:p>
            <w:pPr>
              <w:spacing w:after="0"/>
              <w:rPr>
                <w:sz w:val="24"/>
                <w:szCs w:val="24"/>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50,080</w:t>
            </w:r>
          </w:p>
        </w:tc>
        <w:tc>
          <w:tcPr>
            <w:tcW w:w="240" w:type="dxa"/>
            <w:vAlign w:val="bottom"/>
          </w:tcPr>
          <w:p>
            <w:pPr>
              <w:spacing w:after="0"/>
              <w:rPr>
                <w:sz w:val="24"/>
                <w:szCs w:val="24"/>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50,178</w:t>
            </w:r>
          </w:p>
        </w:tc>
        <w:tc>
          <w:tcPr>
            <w:tcW w:w="240" w:type="dxa"/>
            <w:vAlign w:val="bottom"/>
          </w:tcPr>
          <w:p>
            <w:pPr>
              <w:spacing w:after="0"/>
              <w:rPr>
                <w:sz w:val="24"/>
                <w:szCs w:val="24"/>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49,889</w:t>
            </w:r>
          </w:p>
        </w:tc>
        <w:tc>
          <w:tcPr>
            <w:tcW w:w="260" w:type="dxa"/>
            <w:vAlign w:val="bottom"/>
          </w:tcPr>
          <w:p>
            <w:pPr>
              <w:spacing w:after="0"/>
              <w:rPr>
                <w:sz w:val="24"/>
                <w:szCs w:val="24"/>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2F2F2E"/>
              </w:rPr>
              <w:t>50,842</w:t>
            </w:r>
          </w:p>
        </w:tc>
        <w:tc>
          <w:tcPr>
            <w:tcW w:w="0" w:type="dxa"/>
            <w:vAlign w:val="bottom"/>
          </w:tcPr>
          <w:p>
            <w:pPr>
              <w:spacing w:after="0"/>
              <w:rPr>
                <w:sz w:val="1"/>
                <w:szCs w:val="1"/>
                <w:color w:val="auto"/>
              </w:rPr>
            </w:pPr>
          </w:p>
        </w:tc>
      </w:tr>
      <w:tr>
        <w:trPr>
          <w:trHeight w:val="216"/>
        </w:trPr>
        <w:tc>
          <w:tcPr>
            <w:tcW w:w="3180" w:type="dxa"/>
            <w:vAlign w:val="bottom"/>
          </w:tcPr>
          <w:p>
            <w:pPr>
              <w:ind w:left="60"/>
              <w:spacing w:after="0"/>
              <w:rPr>
                <w:sz w:val="20"/>
                <w:szCs w:val="20"/>
                <w:color w:val="auto"/>
              </w:rPr>
            </w:pPr>
            <w:r>
              <w:rPr>
                <w:rFonts w:ascii="Arial" w:cs="Arial" w:eastAsia="Arial" w:hAnsi="Arial"/>
                <w:sz w:val="18"/>
                <w:szCs w:val="18"/>
                <w:color w:val="2F2F2E"/>
              </w:rPr>
              <w:t>Outstanding-Diluted</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3180" w:type="dxa"/>
            <w:vAlign w:val="bottom"/>
            <w:tcBorders>
              <w:bottom w:val="single" w:sz="8" w:color="353E5E"/>
            </w:tcBorders>
          </w:tcPr>
          <w:p>
            <w:pPr>
              <w:spacing w:after="0"/>
              <w:rPr>
                <w:sz w:val="4"/>
                <w:szCs w:val="4"/>
                <w:color w:val="auto"/>
              </w:rPr>
            </w:pPr>
          </w:p>
        </w:tc>
        <w:tc>
          <w:tcPr>
            <w:tcW w:w="300" w:type="dxa"/>
            <w:vAlign w:val="bottom"/>
            <w:tcBorders>
              <w:bottom w:val="single" w:sz="8" w:color="353E5E"/>
            </w:tcBorders>
          </w:tcPr>
          <w:p>
            <w:pPr>
              <w:spacing w:after="0"/>
              <w:rPr>
                <w:sz w:val="4"/>
                <w:szCs w:val="4"/>
                <w:color w:val="auto"/>
              </w:rPr>
            </w:pPr>
          </w:p>
        </w:tc>
        <w:tc>
          <w:tcPr>
            <w:tcW w:w="1120" w:type="dxa"/>
            <w:vAlign w:val="bottom"/>
            <w:tcBorders>
              <w:bottom w:val="single" w:sz="8" w:color="353E5E"/>
            </w:tcBorders>
          </w:tcPr>
          <w:p>
            <w:pPr>
              <w:spacing w:after="0"/>
              <w:rPr>
                <w:sz w:val="4"/>
                <w:szCs w:val="4"/>
                <w:color w:val="auto"/>
              </w:rPr>
            </w:pPr>
          </w:p>
        </w:tc>
        <w:tc>
          <w:tcPr>
            <w:tcW w:w="260" w:type="dxa"/>
            <w:vAlign w:val="bottom"/>
            <w:tcBorders>
              <w:bottom w:val="single" w:sz="8" w:color="353E5E"/>
            </w:tcBorders>
          </w:tcPr>
          <w:p>
            <w:pPr>
              <w:spacing w:after="0"/>
              <w:rPr>
                <w:sz w:val="4"/>
                <w:szCs w:val="4"/>
                <w:color w:val="auto"/>
              </w:rPr>
            </w:pPr>
          </w:p>
        </w:tc>
        <w:tc>
          <w:tcPr>
            <w:tcW w:w="1140" w:type="dxa"/>
            <w:vAlign w:val="bottom"/>
            <w:tcBorders>
              <w:bottom w:val="single" w:sz="8" w:color="353E5E"/>
            </w:tcBorders>
          </w:tcPr>
          <w:p>
            <w:pPr>
              <w:spacing w:after="0"/>
              <w:rPr>
                <w:sz w:val="4"/>
                <w:szCs w:val="4"/>
                <w:color w:val="auto"/>
              </w:rPr>
            </w:pPr>
          </w:p>
        </w:tc>
        <w:tc>
          <w:tcPr>
            <w:tcW w:w="240" w:type="dxa"/>
            <w:vAlign w:val="bottom"/>
            <w:tcBorders>
              <w:bottom w:val="single" w:sz="8" w:color="353E5E"/>
            </w:tcBorders>
          </w:tcPr>
          <w:p>
            <w:pPr>
              <w:spacing w:after="0"/>
              <w:rPr>
                <w:sz w:val="4"/>
                <w:szCs w:val="4"/>
                <w:color w:val="auto"/>
              </w:rPr>
            </w:pPr>
          </w:p>
        </w:tc>
        <w:tc>
          <w:tcPr>
            <w:tcW w:w="1140" w:type="dxa"/>
            <w:vAlign w:val="bottom"/>
            <w:tcBorders>
              <w:bottom w:val="single" w:sz="8" w:color="353E5E"/>
            </w:tcBorders>
          </w:tcPr>
          <w:p>
            <w:pPr>
              <w:spacing w:after="0"/>
              <w:rPr>
                <w:sz w:val="4"/>
                <w:szCs w:val="4"/>
                <w:color w:val="auto"/>
              </w:rPr>
            </w:pPr>
          </w:p>
        </w:tc>
        <w:tc>
          <w:tcPr>
            <w:tcW w:w="240" w:type="dxa"/>
            <w:vAlign w:val="bottom"/>
            <w:tcBorders>
              <w:bottom w:val="single" w:sz="8" w:color="353E5E"/>
            </w:tcBorders>
          </w:tcPr>
          <w:p>
            <w:pPr>
              <w:spacing w:after="0"/>
              <w:rPr>
                <w:sz w:val="4"/>
                <w:szCs w:val="4"/>
                <w:color w:val="auto"/>
              </w:rPr>
            </w:pPr>
          </w:p>
        </w:tc>
        <w:tc>
          <w:tcPr>
            <w:tcW w:w="1140" w:type="dxa"/>
            <w:vAlign w:val="bottom"/>
            <w:tcBorders>
              <w:bottom w:val="single" w:sz="8" w:color="353E5E"/>
            </w:tcBorders>
          </w:tcPr>
          <w:p>
            <w:pPr>
              <w:spacing w:after="0"/>
              <w:rPr>
                <w:sz w:val="4"/>
                <w:szCs w:val="4"/>
                <w:color w:val="auto"/>
              </w:rPr>
            </w:pPr>
          </w:p>
        </w:tc>
        <w:tc>
          <w:tcPr>
            <w:tcW w:w="260" w:type="dxa"/>
            <w:vAlign w:val="bottom"/>
            <w:tcBorders>
              <w:bottom w:val="single" w:sz="8" w:color="353E5E"/>
            </w:tcBorders>
          </w:tcPr>
          <w:p>
            <w:pPr>
              <w:spacing w:after="0"/>
              <w:rPr>
                <w:sz w:val="4"/>
                <w:szCs w:val="4"/>
                <w:color w:val="auto"/>
              </w:rPr>
            </w:pPr>
          </w:p>
        </w:tc>
        <w:tc>
          <w:tcPr>
            <w:tcW w:w="1060" w:type="dxa"/>
            <w:vAlign w:val="bottom"/>
            <w:tcBorders>
              <w:bottom w:val="single" w:sz="8" w:color="353E5E"/>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3180" w:type="dxa"/>
            <w:vAlign w:val="bottom"/>
          </w:tcPr>
          <w:p>
            <w:pPr>
              <w:ind w:left="60"/>
              <w:spacing w:after="0"/>
              <w:rPr>
                <w:sz w:val="20"/>
                <w:szCs w:val="20"/>
                <w:color w:val="auto"/>
              </w:rPr>
            </w:pPr>
            <w:r>
              <w:rPr>
                <w:rFonts w:ascii="Arial" w:cs="Arial" w:eastAsia="Arial" w:hAnsi="Arial"/>
                <w:sz w:val="18"/>
                <w:szCs w:val="18"/>
                <w:color w:val="2F2F2E"/>
              </w:rPr>
              <w:t>Net Cash Provided by</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2F2F2E"/>
              </w:rPr>
              <w:t>$</w:t>
            </w:r>
          </w:p>
        </w:tc>
        <w:tc>
          <w:tcPr>
            <w:tcW w:w="1120" w:type="dxa"/>
            <w:vAlign w:val="bottom"/>
          </w:tcPr>
          <w:p>
            <w:pPr>
              <w:jc w:val="right"/>
              <w:ind w:right="211"/>
              <w:spacing w:after="0"/>
              <w:rPr>
                <w:sz w:val="20"/>
                <w:szCs w:val="20"/>
                <w:color w:val="auto"/>
              </w:rPr>
            </w:pPr>
            <w:r>
              <w:rPr>
                <w:rFonts w:ascii="Arial" w:cs="Arial" w:eastAsia="Arial" w:hAnsi="Arial"/>
                <w:sz w:val="18"/>
                <w:szCs w:val="18"/>
                <w:b w:val="1"/>
                <w:bCs w:val="1"/>
                <w:color w:val="2F2F2E"/>
              </w:rPr>
              <w:t>257,627</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251,515</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248,926</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229,716</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2F2F2E"/>
              </w:rPr>
              <w:t>259,922</w:t>
            </w:r>
          </w:p>
        </w:tc>
        <w:tc>
          <w:tcPr>
            <w:tcW w:w="0" w:type="dxa"/>
            <w:vAlign w:val="bottom"/>
          </w:tcPr>
          <w:p>
            <w:pPr>
              <w:spacing w:after="0"/>
              <w:rPr>
                <w:sz w:val="1"/>
                <w:szCs w:val="1"/>
                <w:color w:val="auto"/>
              </w:rPr>
            </w:pPr>
          </w:p>
        </w:tc>
      </w:tr>
      <w:tr>
        <w:trPr>
          <w:trHeight w:val="216"/>
        </w:trPr>
        <w:tc>
          <w:tcPr>
            <w:tcW w:w="3180" w:type="dxa"/>
            <w:vAlign w:val="bottom"/>
          </w:tcPr>
          <w:p>
            <w:pPr>
              <w:ind w:left="60"/>
              <w:spacing w:after="0"/>
              <w:rPr>
                <w:sz w:val="20"/>
                <w:szCs w:val="20"/>
                <w:color w:val="auto"/>
              </w:rPr>
            </w:pPr>
            <w:r>
              <w:rPr>
                <w:rFonts w:ascii="Arial" w:cs="Arial" w:eastAsia="Arial" w:hAnsi="Arial"/>
                <w:sz w:val="18"/>
                <w:szCs w:val="18"/>
                <w:color w:val="2F2F2E"/>
              </w:rPr>
              <w:t>Operating Activities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180" w:type="dxa"/>
            <w:vAlign w:val="bottom"/>
          </w:tcPr>
          <w:p>
            <w:pPr>
              <w:ind w:left="60"/>
              <w:spacing w:after="0"/>
              <w:rPr>
                <w:sz w:val="20"/>
                <w:szCs w:val="20"/>
                <w:color w:val="auto"/>
              </w:rPr>
            </w:pPr>
            <w:r>
              <w:rPr>
                <w:rFonts w:ascii="Arial" w:cs="Arial" w:eastAsia="Arial" w:hAnsi="Arial"/>
                <w:sz w:val="18"/>
                <w:szCs w:val="18"/>
                <w:color w:val="2F2F2E"/>
              </w:rPr>
              <w:t>Capital Expenditures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2F2F2E"/>
              </w:rPr>
              <w:t>$</w:t>
            </w:r>
          </w:p>
        </w:tc>
        <w:tc>
          <w:tcPr>
            <w:tcW w:w="1120" w:type="dxa"/>
            <w:vAlign w:val="bottom"/>
          </w:tcPr>
          <w:p>
            <w:pPr>
              <w:jc w:val="right"/>
              <w:ind w:right="211"/>
              <w:spacing w:after="0"/>
              <w:rPr>
                <w:sz w:val="20"/>
                <w:szCs w:val="20"/>
                <w:color w:val="auto"/>
              </w:rPr>
            </w:pPr>
            <w:r>
              <w:rPr>
                <w:rFonts w:ascii="Arial" w:cs="Arial" w:eastAsia="Arial" w:hAnsi="Arial"/>
                <w:sz w:val="18"/>
                <w:szCs w:val="18"/>
                <w:b w:val="1"/>
                <w:bCs w:val="1"/>
                <w:color w:val="2F2F2E"/>
              </w:rPr>
              <w:t>(11,178)</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(8,224)</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(9,550)</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(7,784)</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2F2F2E"/>
              </w:rPr>
              <w:t>(9,642)</w:t>
            </w:r>
          </w:p>
        </w:tc>
        <w:tc>
          <w:tcPr>
            <w:tcW w:w="0" w:type="dxa"/>
            <w:vAlign w:val="bottom"/>
          </w:tcPr>
          <w:p>
            <w:pPr>
              <w:spacing w:after="0"/>
              <w:rPr>
                <w:sz w:val="1"/>
                <w:szCs w:val="1"/>
                <w:color w:val="auto"/>
              </w:rPr>
            </w:pPr>
          </w:p>
        </w:tc>
      </w:tr>
      <w:tr>
        <w:trPr>
          <w:trHeight w:val="329"/>
        </w:trPr>
        <w:tc>
          <w:tcPr>
            <w:tcW w:w="3180" w:type="dxa"/>
            <w:vAlign w:val="bottom"/>
          </w:tcPr>
          <w:p>
            <w:pPr>
              <w:ind w:left="60"/>
              <w:spacing w:after="0"/>
              <w:rPr>
                <w:sz w:val="20"/>
                <w:szCs w:val="20"/>
                <w:color w:val="auto"/>
              </w:rPr>
            </w:pPr>
            <w:r>
              <w:rPr>
                <w:rFonts w:ascii="Arial" w:cs="Arial" w:eastAsia="Arial" w:hAnsi="Arial"/>
                <w:sz w:val="18"/>
                <w:szCs w:val="18"/>
                <w:color w:val="2F2F2E"/>
              </w:rPr>
              <w:t>Free Cash Flow**</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2F2F2E"/>
              </w:rPr>
              <w:t>$</w:t>
            </w:r>
          </w:p>
        </w:tc>
        <w:tc>
          <w:tcPr>
            <w:tcW w:w="1120" w:type="dxa"/>
            <w:vAlign w:val="bottom"/>
          </w:tcPr>
          <w:p>
            <w:pPr>
              <w:jc w:val="right"/>
              <w:ind w:right="211"/>
              <w:spacing w:after="0"/>
              <w:rPr>
                <w:sz w:val="20"/>
                <w:szCs w:val="20"/>
                <w:color w:val="auto"/>
              </w:rPr>
            </w:pPr>
            <w:r>
              <w:rPr>
                <w:rFonts w:ascii="Arial" w:cs="Arial" w:eastAsia="Arial" w:hAnsi="Arial"/>
                <w:sz w:val="18"/>
                <w:szCs w:val="18"/>
                <w:b w:val="1"/>
                <w:bCs w:val="1"/>
                <w:color w:val="2F2F2E"/>
              </w:rPr>
              <w:t>246,449</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243,291</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239,376</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221,932</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2F2F2E"/>
              </w:rPr>
              <w:t>250,280</w:t>
            </w:r>
          </w:p>
        </w:tc>
        <w:tc>
          <w:tcPr>
            <w:tcW w:w="0" w:type="dxa"/>
            <w:vAlign w:val="bottom"/>
          </w:tcPr>
          <w:p>
            <w:pPr>
              <w:spacing w:after="0"/>
              <w:rPr>
                <w:sz w:val="1"/>
                <w:szCs w:val="1"/>
                <w:color w:val="auto"/>
              </w:rPr>
            </w:pPr>
          </w:p>
        </w:tc>
      </w:tr>
      <w:tr>
        <w:trPr>
          <w:trHeight w:val="329"/>
        </w:trPr>
        <w:tc>
          <w:tcPr>
            <w:tcW w:w="3180" w:type="dxa"/>
            <w:vAlign w:val="bottom"/>
          </w:tcPr>
          <w:p>
            <w:pPr>
              <w:ind w:left="60"/>
              <w:spacing w:after="0"/>
              <w:rPr>
                <w:sz w:val="20"/>
                <w:szCs w:val="20"/>
                <w:color w:val="auto"/>
              </w:rPr>
            </w:pPr>
            <w:r>
              <w:rPr>
                <w:rFonts w:ascii="Arial" w:cs="Arial" w:eastAsia="Arial" w:hAnsi="Arial"/>
                <w:sz w:val="18"/>
                <w:szCs w:val="18"/>
                <w:color w:val="2F2F2E"/>
              </w:rPr>
              <w:t>Adjusted Free Cash Flow**</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2F2F2E"/>
              </w:rPr>
              <w:t>$</w:t>
            </w:r>
          </w:p>
        </w:tc>
        <w:tc>
          <w:tcPr>
            <w:tcW w:w="1120" w:type="dxa"/>
            <w:vAlign w:val="bottom"/>
          </w:tcPr>
          <w:p>
            <w:pPr>
              <w:jc w:val="right"/>
              <w:ind w:right="211"/>
              <w:spacing w:after="0"/>
              <w:rPr>
                <w:sz w:val="20"/>
                <w:szCs w:val="20"/>
                <w:color w:val="auto"/>
              </w:rPr>
            </w:pPr>
            <w:r>
              <w:rPr>
                <w:rFonts w:ascii="Arial" w:cs="Arial" w:eastAsia="Arial" w:hAnsi="Arial"/>
                <w:sz w:val="18"/>
                <w:szCs w:val="18"/>
                <w:b w:val="1"/>
                <w:bCs w:val="1"/>
                <w:color w:val="2F2F2E"/>
              </w:rPr>
              <w:t>246,449</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243,291</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239,376</w:t>
            </w:r>
          </w:p>
        </w:tc>
        <w:tc>
          <w:tcPr>
            <w:tcW w:w="240" w:type="dxa"/>
            <w:vAlign w:val="bottom"/>
          </w:tcPr>
          <w:p>
            <w:pPr>
              <w:jc w:val="right"/>
              <w:spacing w:after="0"/>
              <w:rPr>
                <w:sz w:val="20"/>
                <w:szCs w:val="20"/>
                <w:color w:val="auto"/>
              </w:rPr>
            </w:pPr>
            <w:r>
              <w:rPr>
                <w:rFonts w:ascii="Arial" w:cs="Arial" w:eastAsia="Arial" w:hAnsi="Arial"/>
                <w:sz w:val="18"/>
                <w:szCs w:val="18"/>
                <w:color w:val="2F2F2E"/>
              </w:rPr>
              <w:t>$</w:t>
            </w:r>
          </w:p>
        </w:tc>
        <w:tc>
          <w:tcPr>
            <w:tcW w:w="1140" w:type="dxa"/>
            <w:vAlign w:val="bottom"/>
          </w:tcPr>
          <w:p>
            <w:pPr>
              <w:jc w:val="right"/>
              <w:ind w:right="231"/>
              <w:spacing w:after="0"/>
              <w:rPr>
                <w:sz w:val="20"/>
                <w:szCs w:val="20"/>
                <w:color w:val="auto"/>
              </w:rPr>
            </w:pPr>
            <w:r>
              <w:rPr>
                <w:rFonts w:ascii="Arial" w:cs="Arial" w:eastAsia="Arial" w:hAnsi="Arial"/>
                <w:sz w:val="18"/>
                <w:szCs w:val="18"/>
                <w:color w:val="2F2F2E"/>
              </w:rPr>
              <w:t>221,932</w:t>
            </w:r>
          </w:p>
        </w:tc>
        <w:tc>
          <w:tcPr>
            <w:tcW w:w="260" w:type="dxa"/>
            <w:vAlign w:val="bottom"/>
          </w:tcPr>
          <w:p>
            <w:pPr>
              <w:jc w:val="right"/>
              <w:spacing w:after="0"/>
              <w:rPr>
                <w:sz w:val="20"/>
                <w:szCs w:val="20"/>
                <w:color w:val="auto"/>
              </w:rPr>
            </w:pPr>
            <w:r>
              <w:rPr>
                <w:rFonts w:ascii="Arial" w:cs="Arial" w:eastAsia="Arial" w:hAnsi="Arial"/>
                <w:sz w:val="18"/>
                <w:szCs w:val="18"/>
                <w:color w:val="2F2F2E"/>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2F2F2E"/>
              </w:rPr>
              <w:t>253,745</w:t>
            </w:r>
          </w:p>
        </w:tc>
        <w:tc>
          <w:tcPr>
            <w:tcW w:w="0" w:type="dxa"/>
            <w:vAlign w:val="bottom"/>
          </w:tcPr>
          <w:p>
            <w:pPr>
              <w:spacing w:after="0"/>
              <w:rPr>
                <w:sz w:val="1"/>
                <w:szCs w:val="1"/>
                <w:color w:val="auto"/>
              </w:rPr>
            </w:pPr>
          </w:p>
        </w:tc>
      </w:tr>
      <w:tr>
        <w:trPr>
          <w:trHeight w:val="328"/>
        </w:trPr>
        <w:tc>
          <w:tcPr>
            <w:tcW w:w="3180" w:type="dxa"/>
            <w:vAlign w:val="bottom"/>
          </w:tcPr>
          <w:p>
            <w:pPr>
              <w:ind w:left="60"/>
              <w:spacing w:after="0"/>
              <w:rPr>
                <w:sz w:val="20"/>
                <w:szCs w:val="20"/>
                <w:color w:val="auto"/>
              </w:rPr>
            </w:pPr>
            <w:r>
              <w:rPr>
                <w:rFonts w:ascii="Arial" w:cs="Arial" w:eastAsia="Arial" w:hAnsi="Arial"/>
                <w:sz w:val="18"/>
                <w:szCs w:val="18"/>
                <w:color w:val="2F2F2E"/>
              </w:rPr>
              <w:t>Adjusted Free Cash Flow as a</w:t>
            </w:r>
          </w:p>
        </w:tc>
        <w:tc>
          <w:tcPr>
            <w:tcW w:w="30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2F2F2E"/>
              </w:rPr>
              <w:t>22.6%</w:t>
            </w:r>
          </w:p>
        </w:tc>
        <w:tc>
          <w:tcPr>
            <w:tcW w:w="260" w:type="dxa"/>
            <w:vAlign w:val="bottom"/>
          </w:tcPr>
          <w:p>
            <w:pPr>
              <w:spacing w:after="0"/>
              <w:rPr>
                <w:sz w:val="24"/>
                <w:szCs w:val="24"/>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2F2F2E"/>
              </w:rPr>
              <w:t>21.4%</w:t>
            </w:r>
          </w:p>
        </w:tc>
        <w:tc>
          <w:tcPr>
            <w:tcW w:w="240" w:type="dxa"/>
            <w:vAlign w:val="bottom"/>
          </w:tcPr>
          <w:p>
            <w:pPr>
              <w:spacing w:after="0"/>
              <w:rPr>
                <w:sz w:val="24"/>
                <w:szCs w:val="24"/>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2F2F2E"/>
              </w:rPr>
              <w:t>21.3%</w:t>
            </w:r>
          </w:p>
        </w:tc>
        <w:tc>
          <w:tcPr>
            <w:tcW w:w="240" w:type="dxa"/>
            <w:vAlign w:val="bottom"/>
          </w:tcPr>
          <w:p>
            <w:pPr>
              <w:spacing w:after="0"/>
              <w:rPr>
                <w:sz w:val="24"/>
                <w:szCs w:val="24"/>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2F2F2E"/>
              </w:rPr>
              <w:t>19.7%</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F2F2E"/>
              </w:rPr>
              <w:t>23.3%</w:t>
            </w:r>
          </w:p>
        </w:tc>
        <w:tc>
          <w:tcPr>
            <w:tcW w:w="0" w:type="dxa"/>
            <w:vAlign w:val="bottom"/>
          </w:tcPr>
          <w:p>
            <w:pPr>
              <w:spacing w:after="0"/>
              <w:rPr>
                <w:sz w:val="1"/>
                <w:szCs w:val="1"/>
                <w:color w:val="auto"/>
              </w:rPr>
            </w:pPr>
          </w:p>
        </w:tc>
      </w:tr>
      <w:tr>
        <w:trPr>
          <w:trHeight w:val="216"/>
        </w:trPr>
        <w:tc>
          <w:tcPr>
            <w:tcW w:w="3180" w:type="dxa"/>
            <w:vAlign w:val="bottom"/>
          </w:tcPr>
          <w:p>
            <w:pPr>
              <w:ind w:left="60"/>
              <w:spacing w:after="0"/>
              <w:rPr>
                <w:sz w:val="20"/>
                <w:szCs w:val="20"/>
                <w:color w:val="auto"/>
              </w:rPr>
            </w:pPr>
            <w:r>
              <w:rPr>
                <w:rFonts w:ascii="Arial" w:cs="Arial" w:eastAsia="Arial" w:hAnsi="Arial"/>
                <w:sz w:val="18"/>
                <w:szCs w:val="18"/>
                <w:color w:val="2F2F2E"/>
              </w:rPr>
              <w:t>Percentage of Net Revenues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3180" w:type="dxa"/>
            <w:vAlign w:val="bottom"/>
            <w:tcBorders>
              <w:bottom w:val="single" w:sz="8" w:color="942D34"/>
            </w:tcBorders>
          </w:tcPr>
          <w:p>
            <w:pPr>
              <w:spacing w:after="0"/>
              <w:rPr>
                <w:sz w:val="4"/>
                <w:szCs w:val="4"/>
                <w:color w:val="auto"/>
              </w:rPr>
            </w:pPr>
          </w:p>
        </w:tc>
        <w:tc>
          <w:tcPr>
            <w:tcW w:w="300" w:type="dxa"/>
            <w:vAlign w:val="bottom"/>
            <w:tcBorders>
              <w:bottom w:val="single" w:sz="8" w:color="942D34"/>
            </w:tcBorders>
          </w:tcPr>
          <w:p>
            <w:pPr>
              <w:spacing w:after="0"/>
              <w:rPr>
                <w:sz w:val="4"/>
                <w:szCs w:val="4"/>
                <w:color w:val="auto"/>
              </w:rPr>
            </w:pPr>
          </w:p>
        </w:tc>
        <w:tc>
          <w:tcPr>
            <w:tcW w:w="1120" w:type="dxa"/>
            <w:vAlign w:val="bottom"/>
            <w:tcBorders>
              <w:bottom w:val="single" w:sz="8" w:color="942D34"/>
            </w:tcBorders>
          </w:tcPr>
          <w:p>
            <w:pPr>
              <w:spacing w:after="0"/>
              <w:rPr>
                <w:sz w:val="4"/>
                <w:szCs w:val="4"/>
                <w:color w:val="auto"/>
              </w:rPr>
            </w:pPr>
          </w:p>
        </w:tc>
        <w:tc>
          <w:tcPr>
            <w:tcW w:w="260" w:type="dxa"/>
            <w:vAlign w:val="bottom"/>
            <w:tcBorders>
              <w:bottom w:val="single" w:sz="8" w:color="942D34"/>
            </w:tcBorders>
          </w:tcPr>
          <w:p>
            <w:pPr>
              <w:spacing w:after="0"/>
              <w:rPr>
                <w:sz w:val="4"/>
                <w:szCs w:val="4"/>
                <w:color w:val="auto"/>
              </w:rPr>
            </w:pPr>
          </w:p>
        </w:tc>
        <w:tc>
          <w:tcPr>
            <w:tcW w:w="1140" w:type="dxa"/>
            <w:vAlign w:val="bottom"/>
            <w:tcBorders>
              <w:bottom w:val="single" w:sz="8" w:color="942D34"/>
            </w:tcBorders>
          </w:tcPr>
          <w:p>
            <w:pPr>
              <w:spacing w:after="0"/>
              <w:rPr>
                <w:sz w:val="4"/>
                <w:szCs w:val="4"/>
                <w:color w:val="auto"/>
              </w:rPr>
            </w:pPr>
          </w:p>
        </w:tc>
        <w:tc>
          <w:tcPr>
            <w:tcW w:w="240" w:type="dxa"/>
            <w:vAlign w:val="bottom"/>
            <w:tcBorders>
              <w:bottom w:val="single" w:sz="8" w:color="942D34"/>
            </w:tcBorders>
          </w:tcPr>
          <w:p>
            <w:pPr>
              <w:spacing w:after="0"/>
              <w:rPr>
                <w:sz w:val="4"/>
                <w:szCs w:val="4"/>
                <w:color w:val="auto"/>
              </w:rPr>
            </w:pPr>
          </w:p>
        </w:tc>
        <w:tc>
          <w:tcPr>
            <w:tcW w:w="1140" w:type="dxa"/>
            <w:vAlign w:val="bottom"/>
            <w:tcBorders>
              <w:bottom w:val="single" w:sz="8" w:color="942D34"/>
            </w:tcBorders>
          </w:tcPr>
          <w:p>
            <w:pPr>
              <w:spacing w:after="0"/>
              <w:rPr>
                <w:sz w:val="4"/>
                <w:szCs w:val="4"/>
                <w:color w:val="auto"/>
              </w:rPr>
            </w:pPr>
          </w:p>
        </w:tc>
        <w:tc>
          <w:tcPr>
            <w:tcW w:w="240" w:type="dxa"/>
            <w:vAlign w:val="bottom"/>
            <w:tcBorders>
              <w:bottom w:val="single" w:sz="8" w:color="942D34"/>
            </w:tcBorders>
          </w:tcPr>
          <w:p>
            <w:pPr>
              <w:spacing w:after="0"/>
              <w:rPr>
                <w:sz w:val="4"/>
                <w:szCs w:val="4"/>
                <w:color w:val="auto"/>
              </w:rPr>
            </w:pPr>
          </w:p>
        </w:tc>
        <w:tc>
          <w:tcPr>
            <w:tcW w:w="1140" w:type="dxa"/>
            <w:vAlign w:val="bottom"/>
            <w:tcBorders>
              <w:bottom w:val="single" w:sz="8" w:color="942D34"/>
            </w:tcBorders>
          </w:tcPr>
          <w:p>
            <w:pPr>
              <w:spacing w:after="0"/>
              <w:rPr>
                <w:sz w:val="4"/>
                <w:szCs w:val="4"/>
                <w:color w:val="auto"/>
              </w:rPr>
            </w:pPr>
          </w:p>
        </w:tc>
        <w:tc>
          <w:tcPr>
            <w:tcW w:w="260" w:type="dxa"/>
            <w:vAlign w:val="bottom"/>
            <w:tcBorders>
              <w:bottom w:val="single" w:sz="8" w:color="942D34"/>
            </w:tcBorders>
          </w:tcPr>
          <w:p>
            <w:pPr>
              <w:spacing w:after="0"/>
              <w:rPr>
                <w:sz w:val="4"/>
                <w:szCs w:val="4"/>
                <w:color w:val="auto"/>
              </w:rPr>
            </w:pPr>
          </w:p>
        </w:tc>
        <w:tc>
          <w:tcPr>
            <w:tcW w:w="1060" w:type="dxa"/>
            <w:vAlign w:val="bottom"/>
            <w:tcBorders>
              <w:bottom w:val="single" w:sz="8" w:color="942D3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-2722880</wp:posOffset>
            </wp:positionV>
            <wp:extent cx="7543800" cy="7617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7543800" cy="761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 w:type="dxa"/>
        <w:tblCellMar>
          <w:top w:w="0" w:type="dxa"/>
          <w:left w:w="0" w:type="dxa"/>
          <w:bottom w:w="0" w:type="dxa"/>
          <w:right w:w="0" w:type="dxa"/>
        </w:tblCellMar>
      </w:tblPr>
      <w:tr>
        <w:trPr>
          <w:trHeight w:val="238"/>
        </w:trPr>
        <w:tc>
          <w:tcPr>
            <w:tcW w:w="1820" w:type="dxa"/>
            <w:vAlign w:val="bottom"/>
            <w:gridSpan w:val="11"/>
          </w:tcPr>
          <w:p>
            <w:pPr>
              <w:spacing w:after="0"/>
              <w:rPr>
                <w:sz w:val="20"/>
                <w:szCs w:val="20"/>
                <w:color w:val="auto"/>
              </w:rPr>
            </w:pPr>
            <w:r>
              <w:rPr>
                <w:rFonts w:ascii="Arial" w:cs="Arial" w:eastAsia="Arial" w:hAnsi="Arial"/>
                <w:sz w:val="20"/>
                <w:szCs w:val="20"/>
                <w:b w:val="1"/>
                <w:bCs w:val="1"/>
                <w:color w:val="353E5E"/>
                <w:w w:val="98"/>
              </w:rPr>
              <w:t>TOTAL REVENUES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9"/>
          </w:tcPr>
          <w:p>
            <w:pPr>
              <w:jc w:val="center"/>
              <w:ind w:left="268"/>
              <w:spacing w:after="0"/>
              <w:rPr>
                <w:sz w:val="20"/>
                <w:szCs w:val="20"/>
                <w:color w:val="auto"/>
              </w:rPr>
            </w:pPr>
            <w:r>
              <w:rPr>
                <w:rFonts w:ascii="Arial" w:cs="Arial" w:eastAsia="Arial" w:hAnsi="Arial"/>
                <w:sz w:val="20"/>
                <w:szCs w:val="20"/>
                <w:b w:val="1"/>
                <w:bCs w:val="1"/>
                <w:color w:val="353E5E"/>
                <w:w w:val="84"/>
              </w:rPr>
              <w:t>ADJUSTED EARNINGS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gridSpan w:val="16"/>
          </w:tcPr>
          <w:p>
            <w:pPr>
              <w:ind w:left="440"/>
              <w:spacing w:after="0"/>
              <w:rPr>
                <w:sz w:val="20"/>
                <w:szCs w:val="20"/>
                <w:color w:val="auto"/>
              </w:rPr>
            </w:pPr>
            <w:r>
              <w:rPr>
                <w:rFonts w:ascii="Arial" w:cs="Arial" w:eastAsia="Arial" w:hAnsi="Arial"/>
                <w:sz w:val="20"/>
                <w:szCs w:val="20"/>
                <w:b w:val="1"/>
                <w:bCs w:val="1"/>
                <w:color w:val="353E5E"/>
                <w:w w:val="97"/>
              </w:rPr>
              <w:t>ADJUSTED FREE CASH FLOW**</w:t>
            </w:r>
          </w:p>
        </w:tc>
        <w:tc>
          <w:tcPr>
            <w:tcW w:w="0" w:type="dxa"/>
            <w:vAlign w:val="bottom"/>
          </w:tcPr>
          <w:p>
            <w:pPr>
              <w:spacing w:after="0"/>
              <w:rPr>
                <w:sz w:val="1"/>
                <w:szCs w:val="1"/>
                <w:color w:val="auto"/>
              </w:rPr>
            </w:pPr>
          </w:p>
        </w:tc>
      </w:tr>
      <w:tr>
        <w:trPr>
          <w:trHeight w:val="246"/>
        </w:trPr>
        <w:tc>
          <w:tcPr>
            <w:tcW w:w="1200" w:type="dxa"/>
            <w:vAlign w:val="bottom"/>
            <w:gridSpan w:val="8"/>
          </w:tcPr>
          <w:p>
            <w:pPr>
              <w:spacing w:after="0"/>
              <w:rPr>
                <w:sz w:val="20"/>
                <w:szCs w:val="20"/>
                <w:color w:val="auto"/>
              </w:rPr>
            </w:pPr>
            <w:r>
              <w:rPr>
                <w:rFonts w:ascii="Arial" w:cs="Arial" w:eastAsia="Arial" w:hAnsi="Arial"/>
                <w:sz w:val="18"/>
                <w:szCs w:val="18"/>
                <w:color w:val="2F2F2E"/>
              </w:rPr>
              <w:t>(in millions)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9"/>
          </w:tcPr>
          <w:p>
            <w:pPr>
              <w:jc w:val="center"/>
              <w:ind w:left="268"/>
              <w:spacing w:after="0"/>
              <w:rPr>
                <w:sz w:val="20"/>
                <w:szCs w:val="20"/>
                <w:color w:val="auto"/>
              </w:rPr>
            </w:pPr>
            <w:r>
              <w:rPr>
                <w:rFonts w:ascii="Arial" w:cs="Arial" w:eastAsia="Arial" w:hAnsi="Arial"/>
                <w:sz w:val="20"/>
                <w:szCs w:val="20"/>
                <w:b w:val="1"/>
                <w:bCs w:val="1"/>
                <w:color w:val="353E5E"/>
                <w:w w:val="82"/>
              </w:rPr>
              <w:t>PER SHARE–DILUTED*</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8"/>
          </w:tcPr>
          <w:p>
            <w:pPr>
              <w:ind w:left="440"/>
              <w:spacing w:after="0"/>
              <w:rPr>
                <w:sz w:val="20"/>
                <w:szCs w:val="20"/>
                <w:color w:val="auto"/>
              </w:rPr>
            </w:pPr>
            <w:r>
              <w:rPr>
                <w:rFonts w:ascii="Arial" w:cs="Arial" w:eastAsia="Arial" w:hAnsi="Arial"/>
                <w:sz w:val="18"/>
                <w:szCs w:val="18"/>
                <w:color w:val="2F2F2E"/>
              </w:rPr>
              <w:t>(in millions)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942D34"/>
            </w:tcBorders>
          </w:tcPr>
          <w:p>
            <w:pPr>
              <w:spacing w:after="0"/>
              <w:rPr>
                <w:sz w:val="14"/>
                <w:szCs w:val="14"/>
                <w:color w:val="auto"/>
              </w:rPr>
            </w:pPr>
          </w:p>
        </w:tc>
        <w:tc>
          <w:tcPr>
            <w:tcW w:w="100" w:type="dxa"/>
            <w:vAlign w:val="bottom"/>
            <w:tcBorders>
              <w:bottom w:val="single" w:sz="8" w:color="942D34"/>
            </w:tcBorders>
          </w:tcPr>
          <w:p>
            <w:pPr>
              <w:spacing w:after="0"/>
              <w:rPr>
                <w:sz w:val="14"/>
                <w:szCs w:val="14"/>
                <w:color w:val="auto"/>
              </w:rPr>
            </w:pPr>
          </w:p>
        </w:tc>
        <w:tc>
          <w:tcPr>
            <w:tcW w:w="280" w:type="dxa"/>
            <w:vAlign w:val="bottom"/>
            <w:tcBorders>
              <w:bottom w:val="single" w:sz="8" w:color="942D34"/>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vMerge w:val="restart"/>
          </w:tcPr>
          <w:p>
            <w:pPr>
              <w:jc w:val="right"/>
              <w:ind w:right="40"/>
              <w:spacing w:after="0"/>
              <w:rPr>
                <w:sz w:val="20"/>
                <w:szCs w:val="20"/>
                <w:color w:val="auto"/>
              </w:rPr>
            </w:pPr>
            <w:r>
              <w:rPr>
                <w:rFonts w:ascii="Arial" w:cs="Arial" w:eastAsia="Arial" w:hAnsi="Arial"/>
                <w:sz w:val="15"/>
                <w:szCs w:val="15"/>
                <w:color w:val="2F2F2E"/>
                <w:w w:val="88"/>
              </w:rPr>
              <w:t>$1,127.7</w:t>
            </w:r>
          </w:p>
        </w:tc>
        <w:tc>
          <w:tcPr>
            <w:tcW w:w="620" w:type="dxa"/>
            <w:vAlign w:val="bottom"/>
            <w:gridSpan w:val="3"/>
            <w:vMerge w:val="restart"/>
          </w:tcPr>
          <w:p>
            <w:pPr>
              <w:jc w:val="right"/>
              <w:ind w:right="40"/>
              <w:spacing w:after="0"/>
              <w:rPr>
                <w:sz w:val="20"/>
                <w:szCs w:val="20"/>
                <w:color w:val="auto"/>
              </w:rPr>
            </w:pPr>
            <w:r>
              <w:rPr>
                <w:rFonts w:ascii="Arial" w:cs="Arial" w:eastAsia="Arial" w:hAnsi="Arial"/>
                <w:sz w:val="15"/>
                <w:szCs w:val="15"/>
                <w:color w:val="2F2F2E"/>
                <w:w w:val="95"/>
              </w:rPr>
              <w:t>$1,125.4</w:t>
            </w:r>
          </w:p>
        </w:tc>
        <w:tc>
          <w:tcPr>
            <w:tcW w:w="580" w:type="dxa"/>
            <w:vAlign w:val="bottom"/>
            <w:gridSpan w:val="3"/>
            <w:vMerge w:val="restart"/>
          </w:tcPr>
          <w:p>
            <w:pPr>
              <w:jc w:val="right"/>
              <w:ind w:right="20"/>
              <w:spacing w:after="0"/>
              <w:rPr>
                <w:sz w:val="20"/>
                <w:szCs w:val="20"/>
                <w:color w:val="auto"/>
              </w:rPr>
            </w:pPr>
            <w:r>
              <w:rPr>
                <w:rFonts w:ascii="Arial" w:cs="Arial" w:eastAsia="Arial" w:hAnsi="Arial"/>
                <w:sz w:val="15"/>
                <w:szCs w:val="15"/>
                <w:color w:val="2F2F2E"/>
                <w:w w:val="92"/>
              </w:rPr>
              <w:t>$1,137.8</w:t>
            </w:r>
          </w:p>
        </w:tc>
        <w:tc>
          <w:tcPr>
            <w:tcW w:w="640" w:type="dxa"/>
            <w:vAlign w:val="bottom"/>
            <w:gridSpan w:val="3"/>
            <w:vMerge w:val="restart"/>
          </w:tcPr>
          <w:p>
            <w:pPr>
              <w:jc w:val="right"/>
              <w:ind w:right="40"/>
              <w:spacing w:after="0"/>
              <w:rPr>
                <w:sz w:val="20"/>
                <w:szCs w:val="20"/>
                <w:color w:val="auto"/>
              </w:rPr>
            </w:pPr>
            <w:r>
              <w:rPr>
                <w:rFonts w:ascii="Arial" w:cs="Arial" w:eastAsia="Arial" w:hAnsi="Arial"/>
                <w:sz w:val="15"/>
                <w:szCs w:val="15"/>
                <w:b w:val="1"/>
                <w:bCs w:val="1"/>
                <w:color w:val="353E5E"/>
                <w:w w:val="99"/>
              </w:rPr>
              <w:t>$1,088.7</w:t>
            </w:r>
          </w:p>
        </w:tc>
        <w:tc>
          <w:tcPr>
            <w:tcW w:w="440" w:type="dxa"/>
            <w:vAlign w:val="bottom"/>
          </w:tcPr>
          <w:p>
            <w:pPr>
              <w:spacing w:after="0"/>
              <w:rPr>
                <w:sz w:val="14"/>
                <w:szCs w:val="14"/>
                <w:color w:val="auto"/>
              </w:rPr>
            </w:pPr>
          </w:p>
        </w:tc>
        <w:tc>
          <w:tcPr>
            <w:tcW w:w="120" w:type="dxa"/>
            <w:vAlign w:val="bottom"/>
            <w:tcBorders>
              <w:bottom w:val="single" w:sz="8" w:color="942D34"/>
            </w:tcBorders>
          </w:tcPr>
          <w:p>
            <w:pPr>
              <w:spacing w:after="0"/>
              <w:rPr>
                <w:sz w:val="14"/>
                <w:szCs w:val="14"/>
                <w:color w:val="auto"/>
              </w:rPr>
            </w:pPr>
          </w:p>
        </w:tc>
        <w:tc>
          <w:tcPr>
            <w:tcW w:w="280" w:type="dxa"/>
            <w:vAlign w:val="bottom"/>
            <w:tcBorders>
              <w:bottom w:val="single" w:sz="8" w:color="942D34"/>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5"/>
                <w:szCs w:val="15"/>
                <w:color w:val="2F2F2E"/>
              </w:rPr>
              <w:t>$4.52</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5"/>
                <w:szCs w:val="15"/>
                <w:b w:val="1"/>
                <w:bCs w:val="1"/>
                <w:color w:val="353E5E"/>
              </w:rPr>
              <w:t>$4.38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Borders>
              <w:bottom w:val="single" w:sz="8" w:color="942D34"/>
            </w:tcBorders>
          </w:tcPr>
          <w:p>
            <w:pPr>
              <w:spacing w:after="0"/>
              <w:rPr>
                <w:sz w:val="14"/>
                <w:szCs w:val="14"/>
                <w:color w:val="auto"/>
              </w:rPr>
            </w:pPr>
          </w:p>
        </w:tc>
        <w:tc>
          <w:tcPr>
            <w:tcW w:w="100" w:type="dxa"/>
            <w:vAlign w:val="bottom"/>
            <w:tcBorders>
              <w:bottom w:val="single" w:sz="8" w:color="942D34"/>
            </w:tcBorders>
          </w:tcPr>
          <w:p>
            <w:pPr>
              <w:spacing w:after="0"/>
              <w:rPr>
                <w:sz w:val="14"/>
                <w:szCs w:val="14"/>
                <w:color w:val="auto"/>
              </w:rPr>
            </w:pPr>
          </w:p>
        </w:tc>
        <w:tc>
          <w:tcPr>
            <w:tcW w:w="280" w:type="dxa"/>
            <w:vAlign w:val="bottom"/>
            <w:tcBorders>
              <w:bottom w:val="single" w:sz="8" w:color="942D34"/>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620" w:type="dxa"/>
            <w:vAlign w:val="bottom"/>
            <w:gridSpan w:val="5"/>
            <w:vMerge w:val="restart"/>
          </w:tcPr>
          <w:p>
            <w:pPr>
              <w:ind w:left="20"/>
              <w:spacing w:after="0"/>
              <w:rPr>
                <w:sz w:val="20"/>
                <w:szCs w:val="20"/>
                <w:color w:val="auto"/>
              </w:rPr>
            </w:pPr>
            <w:r>
              <w:rPr>
                <w:rFonts w:ascii="Arial" w:cs="Arial" w:eastAsia="Arial" w:hAnsi="Arial"/>
                <w:sz w:val="15"/>
                <w:szCs w:val="15"/>
                <w:color w:val="2F2F2E"/>
                <w:w w:val="99"/>
              </w:rPr>
              <w:t>$1,086.8</w:t>
            </w:r>
          </w:p>
        </w:tc>
        <w:tc>
          <w:tcPr>
            <w:tcW w:w="580" w:type="dxa"/>
            <w:vAlign w:val="bottom"/>
            <w:gridSpan w:val="3"/>
            <w:vMerge w:val="continue"/>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580" w:type="dxa"/>
            <w:vAlign w:val="bottom"/>
            <w:gridSpan w:val="3"/>
            <w:vMerge w:val="continue"/>
          </w:tcPr>
          <w:p>
            <w:pPr>
              <w:spacing w:after="0"/>
              <w:rPr>
                <w:sz w:val="24"/>
                <w:szCs w:val="24"/>
                <w:color w:val="auto"/>
              </w:rPr>
            </w:pPr>
          </w:p>
        </w:tc>
        <w:tc>
          <w:tcPr>
            <w:tcW w:w="640" w:type="dxa"/>
            <w:vAlign w:val="bottom"/>
            <w:gridSpan w:val="3"/>
            <w:vMerge w:val="continue"/>
          </w:tcPr>
          <w:p>
            <w:pPr>
              <w:spacing w:after="0"/>
              <w:rPr>
                <w:sz w:val="24"/>
                <w:szCs w:val="24"/>
                <w:color w:val="auto"/>
              </w:rPr>
            </w:pPr>
          </w:p>
        </w:tc>
        <w:tc>
          <w:tcPr>
            <w:tcW w:w="940" w:type="dxa"/>
            <w:vAlign w:val="bottom"/>
            <w:gridSpan w:val="4"/>
            <w:vMerge w:val="restart"/>
          </w:tcPr>
          <w:p>
            <w:pPr>
              <w:jc w:val="right"/>
              <w:spacing w:after="0"/>
              <w:rPr>
                <w:sz w:val="20"/>
                <w:szCs w:val="20"/>
                <w:color w:val="auto"/>
              </w:rPr>
            </w:pPr>
            <w:r>
              <w:rPr>
                <w:rFonts w:ascii="Arial" w:cs="Arial" w:eastAsia="Arial" w:hAnsi="Arial"/>
                <w:sz w:val="15"/>
                <w:szCs w:val="15"/>
                <w:color w:val="2F2F2E"/>
              </w:rPr>
              <w:t>$4.06</w:t>
            </w:r>
          </w:p>
        </w:tc>
        <w:tc>
          <w:tcPr>
            <w:tcW w:w="620" w:type="dxa"/>
            <w:vAlign w:val="bottom"/>
            <w:gridSpan w:val="2"/>
            <w:vMerge w:val="restart"/>
          </w:tcPr>
          <w:p>
            <w:pPr>
              <w:jc w:val="center"/>
              <w:ind w:left="145"/>
              <w:spacing w:after="0"/>
              <w:rPr>
                <w:sz w:val="20"/>
                <w:szCs w:val="20"/>
                <w:color w:val="auto"/>
              </w:rPr>
            </w:pPr>
            <w:r>
              <w:rPr>
                <w:rFonts w:ascii="Arial" w:cs="Arial" w:eastAsia="Arial" w:hAnsi="Arial"/>
                <w:sz w:val="15"/>
                <w:szCs w:val="15"/>
                <w:color w:val="2F2F2E"/>
                <w:w w:val="95"/>
              </w:rPr>
              <w:t>$4.21</w:t>
            </w: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5"/>
                <w:szCs w:val="15"/>
                <w:color w:val="2F2F2E"/>
              </w:rPr>
              <w:t>$4.21</w:t>
            </w:r>
          </w:p>
        </w:tc>
        <w:tc>
          <w:tcPr>
            <w:tcW w:w="2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1260" w:type="dxa"/>
            <w:vAlign w:val="bottom"/>
            <w:gridSpan w:val="7"/>
            <w:vMerge w:val="restart"/>
          </w:tcPr>
          <w:p>
            <w:pPr>
              <w:jc w:val="right"/>
              <w:ind w:right="143"/>
              <w:spacing w:after="0"/>
              <w:rPr>
                <w:sz w:val="20"/>
                <w:szCs w:val="20"/>
                <w:color w:val="auto"/>
              </w:rPr>
            </w:pPr>
            <w:r>
              <w:rPr>
                <w:rFonts w:ascii="Arial" w:cs="Arial" w:eastAsia="Arial" w:hAnsi="Arial"/>
                <w:sz w:val="15"/>
                <w:szCs w:val="15"/>
                <w:color w:val="2F2F2E"/>
              </w:rPr>
              <w:t>$253.7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5"/>
            <w:vMerge w:val="restart"/>
          </w:tcPr>
          <w:p>
            <w:pPr>
              <w:jc w:val="right"/>
              <w:ind w:right="80"/>
              <w:spacing w:after="0"/>
              <w:rPr>
                <w:sz w:val="20"/>
                <w:szCs w:val="20"/>
                <w:color w:val="auto"/>
              </w:rPr>
            </w:pPr>
            <w:r>
              <w:rPr>
                <w:rFonts w:ascii="Arial" w:cs="Arial" w:eastAsia="Arial" w:hAnsi="Arial"/>
                <w:sz w:val="15"/>
                <w:szCs w:val="15"/>
                <w:color w:val="2F2F2E"/>
              </w:rPr>
              <w:t xml:space="preserve">$243.3  </w:t>
            </w:r>
            <w:r>
              <w:rPr>
                <w:rFonts w:ascii="Arial" w:cs="Arial" w:eastAsia="Arial" w:hAnsi="Arial"/>
                <w:sz w:val="15"/>
                <w:szCs w:val="15"/>
                <w:b w:val="1"/>
                <w:bCs w:val="1"/>
                <w:color w:val="353E5E"/>
              </w:rPr>
              <w:t>$246.4</w:t>
            </w:r>
          </w:p>
        </w:tc>
        <w:tc>
          <w:tcPr>
            <w:tcW w:w="0" w:type="dxa"/>
            <w:vAlign w:val="bottom"/>
          </w:tcPr>
          <w:p>
            <w:pPr>
              <w:spacing w:after="0"/>
              <w:rPr>
                <w:sz w:val="1"/>
                <w:szCs w:val="1"/>
                <w:color w:val="auto"/>
              </w:rPr>
            </w:pPr>
          </w:p>
        </w:tc>
      </w:tr>
      <w:tr>
        <w:trPr>
          <w:trHeight w:val="25"/>
        </w:trPr>
        <w:tc>
          <w:tcPr>
            <w:tcW w:w="620" w:type="dxa"/>
            <w:vAlign w:val="bottom"/>
            <w:gridSpan w:val="5"/>
            <w:vMerge w:val="continue"/>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7"/>
            <w:vMerge w:val="continu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3"/>
            <w:vMerge w:val="restart"/>
          </w:tcPr>
          <w:p>
            <w:pPr>
              <w:jc w:val="right"/>
              <w:ind w:right="80"/>
              <w:spacing w:after="0"/>
              <w:rPr>
                <w:sz w:val="20"/>
                <w:szCs w:val="20"/>
                <w:color w:val="auto"/>
              </w:rPr>
            </w:pPr>
            <w:r>
              <w:rPr>
                <w:rFonts w:ascii="Arial" w:cs="Arial" w:eastAsia="Arial" w:hAnsi="Arial"/>
                <w:sz w:val="15"/>
                <w:szCs w:val="15"/>
                <w:color w:val="2F2F2E"/>
              </w:rPr>
              <w:t>$239.4</w:t>
            </w:r>
          </w:p>
        </w:tc>
        <w:tc>
          <w:tcPr>
            <w:tcW w:w="12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60" w:type="dxa"/>
            <w:vAlign w:val="bottom"/>
            <w:gridSpan w:val="7"/>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Borders>
              <w:top w:val="single" w:sz="8" w:color="353E5E"/>
            </w:tcBorders>
            <w:shd w:val="clear" w:color="auto" w:fill="353E5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Borders>
              <w:top w:val="single" w:sz="8" w:color="353E5E"/>
            </w:tcBorders>
            <w:shd w:val="clear" w:color="auto" w:fill="353E5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3"/>
          </w:tcPr>
          <w:p>
            <w:pPr>
              <w:jc w:val="right"/>
              <w:ind w:right="80"/>
              <w:spacing w:after="0" w:line="76" w:lineRule="exact"/>
              <w:rPr>
                <w:sz w:val="20"/>
                <w:szCs w:val="20"/>
                <w:color w:val="auto"/>
              </w:rPr>
            </w:pPr>
            <w:r>
              <w:rPr>
                <w:rFonts w:ascii="Arial" w:cs="Arial" w:eastAsia="Arial" w:hAnsi="Arial"/>
                <w:sz w:val="8"/>
                <w:szCs w:val="8"/>
                <w:color w:val="2F2F2E"/>
              </w:rPr>
              <w:t>$221.9</w:t>
            </w: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Borders>
              <w:top w:val="single" w:sz="8" w:color="353E5E"/>
            </w:tcBorders>
            <w:shd w:val="clear" w:color="auto" w:fill="353E5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353E5E"/>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353E5E"/>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353E5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0"/>
        </w:trPr>
        <w:tc>
          <w:tcPr>
            <w:tcW w:w="20" w:type="dxa"/>
            <w:vAlign w:val="bottom"/>
          </w:tcPr>
          <w:p>
            <w:pPr>
              <w:spacing w:after="0"/>
              <w:rPr>
                <w:sz w:val="24"/>
                <w:szCs w:val="24"/>
                <w:color w:val="auto"/>
              </w:rPr>
            </w:pPr>
          </w:p>
        </w:tc>
        <w:tc>
          <w:tcPr>
            <w:tcW w:w="100" w:type="dxa"/>
            <w:vAlign w:val="bottom"/>
            <w:tcBorders>
              <w:bottom w:val="single" w:sz="8" w:color="C5C6C6"/>
            </w:tcBorders>
          </w:tcPr>
          <w:p>
            <w:pPr>
              <w:spacing w:after="0"/>
              <w:rPr>
                <w:sz w:val="24"/>
                <w:szCs w:val="24"/>
                <w:color w:val="auto"/>
              </w:rPr>
            </w:pPr>
          </w:p>
        </w:tc>
        <w:tc>
          <w:tcPr>
            <w:tcW w:w="280" w:type="dxa"/>
            <w:vAlign w:val="bottom"/>
            <w:tcBorders>
              <w:bottom w:val="single" w:sz="8" w:color="C5C6C6"/>
            </w:tcBorders>
          </w:tcPr>
          <w:p>
            <w:pPr>
              <w:spacing w:after="0"/>
              <w:rPr>
                <w:sz w:val="24"/>
                <w:szCs w:val="24"/>
                <w:color w:val="auto"/>
              </w:rPr>
            </w:pPr>
          </w:p>
        </w:tc>
        <w:tc>
          <w:tcPr>
            <w:tcW w:w="120" w:type="dxa"/>
            <w:vAlign w:val="bottom"/>
            <w:tcBorders>
              <w:bottom w:val="single" w:sz="8" w:color="C5C6C6"/>
            </w:tcBorders>
          </w:tcPr>
          <w:p>
            <w:pPr>
              <w:spacing w:after="0"/>
              <w:rPr>
                <w:sz w:val="24"/>
                <w:szCs w:val="24"/>
                <w:color w:val="auto"/>
              </w:rPr>
            </w:pPr>
          </w:p>
        </w:tc>
        <w:tc>
          <w:tcPr>
            <w:tcW w:w="100" w:type="dxa"/>
            <w:vAlign w:val="bottom"/>
            <w:tcBorders>
              <w:bottom w:val="single" w:sz="8" w:color="C5C6C6"/>
            </w:tcBorders>
          </w:tcPr>
          <w:p>
            <w:pPr>
              <w:spacing w:after="0"/>
              <w:rPr>
                <w:sz w:val="24"/>
                <w:szCs w:val="24"/>
                <w:color w:val="auto"/>
              </w:rPr>
            </w:pPr>
          </w:p>
        </w:tc>
        <w:tc>
          <w:tcPr>
            <w:tcW w:w="100" w:type="dxa"/>
            <w:vAlign w:val="bottom"/>
            <w:tcBorders>
              <w:bottom w:val="single" w:sz="8" w:color="C5C6C6"/>
            </w:tcBorders>
          </w:tcPr>
          <w:p>
            <w:pPr>
              <w:spacing w:after="0"/>
              <w:rPr>
                <w:sz w:val="24"/>
                <w:szCs w:val="24"/>
                <w:color w:val="auto"/>
              </w:rPr>
            </w:pPr>
          </w:p>
        </w:tc>
        <w:tc>
          <w:tcPr>
            <w:tcW w:w="400" w:type="dxa"/>
            <w:vAlign w:val="bottom"/>
            <w:tcBorders>
              <w:bottom w:val="single" w:sz="8" w:color="C5C6C6"/>
            </w:tcBorders>
          </w:tcPr>
          <w:p>
            <w:pPr>
              <w:spacing w:after="0"/>
              <w:rPr>
                <w:sz w:val="24"/>
                <w:szCs w:val="24"/>
                <w:color w:val="auto"/>
              </w:rPr>
            </w:pPr>
          </w:p>
        </w:tc>
        <w:tc>
          <w:tcPr>
            <w:tcW w:w="80" w:type="dxa"/>
            <w:vAlign w:val="bottom"/>
            <w:tcBorders>
              <w:bottom w:val="single" w:sz="8" w:color="C5C6C6"/>
            </w:tcBorders>
          </w:tcPr>
          <w:p>
            <w:pPr>
              <w:spacing w:after="0"/>
              <w:rPr>
                <w:sz w:val="24"/>
                <w:szCs w:val="24"/>
                <w:color w:val="auto"/>
              </w:rPr>
            </w:pPr>
          </w:p>
        </w:tc>
        <w:tc>
          <w:tcPr>
            <w:tcW w:w="120" w:type="dxa"/>
            <w:vAlign w:val="bottom"/>
            <w:tcBorders>
              <w:bottom w:val="single" w:sz="8" w:color="C5C6C6"/>
            </w:tcBorders>
          </w:tcPr>
          <w:p>
            <w:pPr>
              <w:spacing w:after="0"/>
              <w:rPr>
                <w:sz w:val="24"/>
                <w:szCs w:val="24"/>
                <w:color w:val="auto"/>
              </w:rPr>
            </w:pPr>
          </w:p>
        </w:tc>
        <w:tc>
          <w:tcPr>
            <w:tcW w:w="400" w:type="dxa"/>
            <w:vAlign w:val="bottom"/>
            <w:tcBorders>
              <w:bottom w:val="single" w:sz="8" w:color="C5C6C6"/>
            </w:tcBorders>
          </w:tcPr>
          <w:p>
            <w:pPr>
              <w:spacing w:after="0"/>
              <w:rPr>
                <w:sz w:val="24"/>
                <w:szCs w:val="24"/>
                <w:color w:val="auto"/>
              </w:rPr>
            </w:pPr>
          </w:p>
        </w:tc>
        <w:tc>
          <w:tcPr>
            <w:tcW w:w="100" w:type="dxa"/>
            <w:vAlign w:val="bottom"/>
            <w:tcBorders>
              <w:bottom w:val="single" w:sz="8" w:color="C5C6C6"/>
            </w:tcBorders>
          </w:tcPr>
          <w:p>
            <w:pPr>
              <w:spacing w:after="0"/>
              <w:rPr>
                <w:sz w:val="24"/>
                <w:szCs w:val="24"/>
                <w:color w:val="auto"/>
              </w:rPr>
            </w:pPr>
          </w:p>
        </w:tc>
        <w:tc>
          <w:tcPr>
            <w:tcW w:w="100" w:type="dxa"/>
            <w:vAlign w:val="bottom"/>
            <w:tcBorders>
              <w:bottom w:val="single" w:sz="8" w:color="C5C6C6"/>
            </w:tcBorders>
          </w:tcPr>
          <w:p>
            <w:pPr>
              <w:spacing w:after="0"/>
              <w:rPr>
                <w:sz w:val="24"/>
                <w:szCs w:val="24"/>
                <w:color w:val="auto"/>
              </w:rPr>
            </w:pPr>
          </w:p>
        </w:tc>
        <w:tc>
          <w:tcPr>
            <w:tcW w:w="400" w:type="dxa"/>
            <w:vAlign w:val="bottom"/>
            <w:tcBorders>
              <w:bottom w:val="single" w:sz="8" w:color="C5C6C6"/>
            </w:tcBorders>
          </w:tcPr>
          <w:p>
            <w:pPr>
              <w:spacing w:after="0"/>
              <w:rPr>
                <w:sz w:val="24"/>
                <w:szCs w:val="24"/>
                <w:color w:val="auto"/>
              </w:rPr>
            </w:pPr>
          </w:p>
        </w:tc>
        <w:tc>
          <w:tcPr>
            <w:tcW w:w="80" w:type="dxa"/>
            <w:vAlign w:val="bottom"/>
            <w:tcBorders>
              <w:bottom w:val="single" w:sz="8" w:color="C5C6C6"/>
            </w:tcBorders>
          </w:tcPr>
          <w:p>
            <w:pPr>
              <w:spacing w:after="0"/>
              <w:rPr>
                <w:sz w:val="24"/>
                <w:szCs w:val="24"/>
                <w:color w:val="auto"/>
              </w:rPr>
            </w:pPr>
          </w:p>
        </w:tc>
        <w:tc>
          <w:tcPr>
            <w:tcW w:w="140" w:type="dxa"/>
            <w:vAlign w:val="bottom"/>
            <w:tcBorders>
              <w:bottom w:val="single" w:sz="8" w:color="C5C6C6"/>
            </w:tcBorders>
          </w:tcPr>
          <w:p>
            <w:pPr>
              <w:spacing w:after="0"/>
              <w:rPr>
                <w:sz w:val="24"/>
                <w:szCs w:val="24"/>
                <w:color w:val="auto"/>
              </w:rPr>
            </w:pPr>
          </w:p>
        </w:tc>
        <w:tc>
          <w:tcPr>
            <w:tcW w:w="380" w:type="dxa"/>
            <w:vAlign w:val="bottom"/>
            <w:tcBorders>
              <w:bottom w:val="single" w:sz="8" w:color="C5C6C6"/>
            </w:tcBorders>
            <w:shd w:val="clear" w:color="auto" w:fill="353E5E"/>
          </w:tcPr>
          <w:p>
            <w:pPr>
              <w:spacing w:after="0"/>
              <w:rPr>
                <w:sz w:val="24"/>
                <w:szCs w:val="24"/>
                <w:color w:val="auto"/>
              </w:rPr>
            </w:pPr>
          </w:p>
        </w:tc>
        <w:tc>
          <w:tcPr>
            <w:tcW w:w="120" w:type="dxa"/>
            <w:vAlign w:val="bottom"/>
            <w:tcBorders>
              <w:bottom w:val="single" w:sz="8" w:color="C5C6C6"/>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C5C6C6"/>
            </w:tcBorders>
          </w:tcPr>
          <w:p>
            <w:pPr>
              <w:spacing w:after="0"/>
              <w:rPr>
                <w:sz w:val="24"/>
                <w:szCs w:val="24"/>
                <w:color w:val="auto"/>
              </w:rPr>
            </w:pPr>
          </w:p>
        </w:tc>
        <w:tc>
          <w:tcPr>
            <w:tcW w:w="280" w:type="dxa"/>
            <w:vAlign w:val="bottom"/>
            <w:tcBorders>
              <w:bottom w:val="single" w:sz="8" w:color="C5C6C6"/>
            </w:tcBorders>
          </w:tcPr>
          <w:p>
            <w:pPr>
              <w:spacing w:after="0"/>
              <w:rPr>
                <w:sz w:val="24"/>
                <w:szCs w:val="24"/>
                <w:color w:val="auto"/>
              </w:rPr>
            </w:pPr>
          </w:p>
        </w:tc>
        <w:tc>
          <w:tcPr>
            <w:tcW w:w="100" w:type="dxa"/>
            <w:vAlign w:val="bottom"/>
            <w:tcBorders>
              <w:bottom w:val="single" w:sz="8" w:color="C5C6C6"/>
            </w:tcBorders>
          </w:tcPr>
          <w:p>
            <w:pPr>
              <w:spacing w:after="0"/>
              <w:rPr>
                <w:sz w:val="24"/>
                <w:szCs w:val="24"/>
                <w:color w:val="auto"/>
              </w:rPr>
            </w:pPr>
          </w:p>
        </w:tc>
        <w:tc>
          <w:tcPr>
            <w:tcW w:w="220" w:type="dxa"/>
            <w:vAlign w:val="bottom"/>
            <w:tcBorders>
              <w:bottom w:val="single" w:sz="8" w:color="C5C6C6"/>
            </w:tcBorders>
          </w:tcPr>
          <w:p>
            <w:pPr>
              <w:spacing w:after="0"/>
              <w:rPr>
                <w:sz w:val="24"/>
                <w:szCs w:val="24"/>
                <w:color w:val="auto"/>
              </w:rPr>
            </w:pPr>
          </w:p>
        </w:tc>
        <w:tc>
          <w:tcPr>
            <w:tcW w:w="400" w:type="dxa"/>
            <w:vAlign w:val="bottom"/>
            <w:tcBorders>
              <w:bottom w:val="single" w:sz="8" w:color="C5C6C6"/>
            </w:tcBorders>
          </w:tcPr>
          <w:p>
            <w:pPr>
              <w:spacing w:after="0"/>
              <w:rPr>
                <w:sz w:val="24"/>
                <w:szCs w:val="24"/>
                <w:color w:val="auto"/>
              </w:rPr>
            </w:pPr>
          </w:p>
        </w:tc>
        <w:tc>
          <w:tcPr>
            <w:tcW w:w="200" w:type="dxa"/>
            <w:vAlign w:val="bottom"/>
            <w:tcBorders>
              <w:bottom w:val="single" w:sz="8" w:color="C5C6C6"/>
            </w:tcBorders>
          </w:tcPr>
          <w:p>
            <w:pPr>
              <w:spacing w:after="0"/>
              <w:rPr>
                <w:sz w:val="24"/>
                <w:szCs w:val="24"/>
                <w:color w:val="auto"/>
              </w:rPr>
            </w:pPr>
          </w:p>
        </w:tc>
        <w:tc>
          <w:tcPr>
            <w:tcW w:w="400" w:type="dxa"/>
            <w:vAlign w:val="bottom"/>
            <w:tcBorders>
              <w:bottom w:val="single" w:sz="8" w:color="C5C6C6"/>
            </w:tcBorders>
          </w:tcPr>
          <w:p>
            <w:pPr>
              <w:spacing w:after="0"/>
              <w:rPr>
                <w:sz w:val="24"/>
                <w:szCs w:val="24"/>
                <w:color w:val="auto"/>
              </w:rPr>
            </w:pPr>
          </w:p>
        </w:tc>
        <w:tc>
          <w:tcPr>
            <w:tcW w:w="200" w:type="dxa"/>
            <w:vAlign w:val="bottom"/>
            <w:tcBorders>
              <w:bottom w:val="single" w:sz="8" w:color="C5C6C6"/>
            </w:tcBorders>
          </w:tcPr>
          <w:p>
            <w:pPr>
              <w:spacing w:after="0"/>
              <w:rPr>
                <w:sz w:val="24"/>
                <w:szCs w:val="24"/>
                <w:color w:val="auto"/>
              </w:rPr>
            </w:pPr>
          </w:p>
        </w:tc>
        <w:tc>
          <w:tcPr>
            <w:tcW w:w="400" w:type="dxa"/>
            <w:vAlign w:val="bottom"/>
            <w:tcBorders>
              <w:bottom w:val="single" w:sz="8" w:color="C5C6C6"/>
            </w:tcBorders>
          </w:tcPr>
          <w:p>
            <w:pPr>
              <w:spacing w:after="0"/>
              <w:rPr>
                <w:sz w:val="24"/>
                <w:szCs w:val="24"/>
                <w:color w:val="auto"/>
              </w:rPr>
            </w:pPr>
          </w:p>
        </w:tc>
        <w:tc>
          <w:tcPr>
            <w:tcW w:w="220" w:type="dxa"/>
            <w:vAlign w:val="bottom"/>
            <w:tcBorders>
              <w:bottom w:val="single" w:sz="8" w:color="C5C6C6"/>
            </w:tcBorders>
          </w:tcPr>
          <w:p>
            <w:pPr>
              <w:spacing w:after="0"/>
              <w:rPr>
                <w:sz w:val="24"/>
                <w:szCs w:val="24"/>
                <w:color w:val="auto"/>
              </w:rPr>
            </w:pPr>
          </w:p>
        </w:tc>
        <w:tc>
          <w:tcPr>
            <w:tcW w:w="400" w:type="dxa"/>
            <w:vAlign w:val="bottom"/>
            <w:tcBorders>
              <w:bottom w:val="single" w:sz="8" w:color="353E5E"/>
            </w:tcBorders>
            <w:shd w:val="clear" w:color="auto" w:fill="353E5E"/>
          </w:tcPr>
          <w:p>
            <w:pPr>
              <w:spacing w:after="0"/>
              <w:rPr>
                <w:sz w:val="24"/>
                <w:szCs w:val="24"/>
                <w:color w:val="auto"/>
              </w:rPr>
            </w:pPr>
          </w:p>
        </w:tc>
        <w:tc>
          <w:tcPr>
            <w:tcW w:w="100" w:type="dxa"/>
            <w:vAlign w:val="bottom"/>
            <w:tcBorders>
              <w:bottom w:val="single" w:sz="8" w:color="C5C6C6"/>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C5C6C6"/>
            </w:tcBorders>
          </w:tcPr>
          <w:p>
            <w:pPr>
              <w:spacing w:after="0"/>
              <w:rPr>
                <w:sz w:val="24"/>
                <w:szCs w:val="24"/>
                <w:color w:val="auto"/>
              </w:rPr>
            </w:pPr>
          </w:p>
        </w:tc>
        <w:tc>
          <w:tcPr>
            <w:tcW w:w="280" w:type="dxa"/>
            <w:vAlign w:val="bottom"/>
            <w:tcBorders>
              <w:bottom w:val="single" w:sz="8" w:color="C5C6C6"/>
            </w:tcBorders>
          </w:tcPr>
          <w:p>
            <w:pPr>
              <w:spacing w:after="0"/>
              <w:rPr>
                <w:sz w:val="24"/>
                <w:szCs w:val="24"/>
                <w:color w:val="auto"/>
              </w:rPr>
            </w:pPr>
          </w:p>
        </w:tc>
        <w:tc>
          <w:tcPr>
            <w:tcW w:w="120" w:type="dxa"/>
            <w:vAlign w:val="bottom"/>
            <w:tcBorders>
              <w:bottom w:val="single" w:sz="8" w:color="C5C6C6"/>
            </w:tcBorders>
          </w:tcPr>
          <w:p>
            <w:pPr>
              <w:spacing w:after="0"/>
              <w:rPr>
                <w:sz w:val="24"/>
                <w:szCs w:val="24"/>
                <w:color w:val="auto"/>
              </w:rPr>
            </w:pPr>
          </w:p>
        </w:tc>
        <w:tc>
          <w:tcPr>
            <w:tcW w:w="200" w:type="dxa"/>
            <w:vAlign w:val="bottom"/>
            <w:tcBorders>
              <w:bottom w:val="single" w:sz="8" w:color="C5C6C6"/>
            </w:tcBorders>
          </w:tcPr>
          <w:p>
            <w:pPr>
              <w:spacing w:after="0"/>
              <w:rPr>
                <w:sz w:val="24"/>
                <w:szCs w:val="24"/>
                <w:color w:val="auto"/>
              </w:rPr>
            </w:pPr>
          </w:p>
        </w:tc>
        <w:tc>
          <w:tcPr>
            <w:tcW w:w="400" w:type="dxa"/>
            <w:vAlign w:val="bottom"/>
            <w:tcBorders>
              <w:bottom w:val="single" w:sz="8" w:color="C5C6C6"/>
            </w:tcBorders>
          </w:tcPr>
          <w:p>
            <w:pPr>
              <w:spacing w:after="0"/>
              <w:rPr>
                <w:sz w:val="24"/>
                <w:szCs w:val="24"/>
                <w:color w:val="auto"/>
              </w:rPr>
            </w:pPr>
          </w:p>
        </w:tc>
        <w:tc>
          <w:tcPr>
            <w:tcW w:w="100" w:type="dxa"/>
            <w:vAlign w:val="bottom"/>
            <w:tcBorders>
              <w:bottom w:val="single" w:sz="8" w:color="C5C6C6"/>
            </w:tcBorders>
          </w:tcPr>
          <w:p>
            <w:pPr>
              <w:spacing w:after="0"/>
              <w:rPr>
                <w:sz w:val="24"/>
                <w:szCs w:val="24"/>
                <w:color w:val="auto"/>
              </w:rPr>
            </w:pPr>
          </w:p>
        </w:tc>
        <w:tc>
          <w:tcPr>
            <w:tcW w:w="120" w:type="dxa"/>
            <w:vAlign w:val="bottom"/>
            <w:tcBorders>
              <w:bottom w:val="single" w:sz="8" w:color="C5C6C6"/>
            </w:tcBorders>
          </w:tcPr>
          <w:p>
            <w:pPr>
              <w:spacing w:after="0"/>
              <w:rPr>
                <w:sz w:val="24"/>
                <w:szCs w:val="24"/>
                <w:color w:val="auto"/>
              </w:rPr>
            </w:pPr>
          </w:p>
        </w:tc>
        <w:tc>
          <w:tcPr>
            <w:tcW w:w="380" w:type="dxa"/>
            <w:vAlign w:val="bottom"/>
            <w:tcBorders>
              <w:bottom w:val="single" w:sz="8" w:color="C5C6C6"/>
            </w:tcBorders>
          </w:tcPr>
          <w:p>
            <w:pPr>
              <w:spacing w:after="0"/>
              <w:rPr>
                <w:sz w:val="24"/>
                <w:szCs w:val="24"/>
                <w:color w:val="auto"/>
              </w:rPr>
            </w:pPr>
          </w:p>
        </w:tc>
        <w:tc>
          <w:tcPr>
            <w:tcW w:w="120" w:type="dxa"/>
            <w:vAlign w:val="bottom"/>
            <w:tcBorders>
              <w:bottom w:val="single" w:sz="8" w:color="C5C6C6"/>
            </w:tcBorders>
          </w:tcPr>
          <w:p>
            <w:pPr>
              <w:spacing w:after="0"/>
              <w:rPr>
                <w:sz w:val="24"/>
                <w:szCs w:val="24"/>
                <w:color w:val="auto"/>
              </w:rPr>
            </w:pPr>
          </w:p>
        </w:tc>
        <w:tc>
          <w:tcPr>
            <w:tcW w:w="100" w:type="dxa"/>
            <w:vAlign w:val="bottom"/>
            <w:tcBorders>
              <w:bottom w:val="single" w:sz="8" w:color="C5C6C6"/>
            </w:tcBorders>
          </w:tcPr>
          <w:p>
            <w:pPr>
              <w:spacing w:after="0"/>
              <w:rPr>
                <w:sz w:val="24"/>
                <w:szCs w:val="24"/>
                <w:color w:val="auto"/>
              </w:rPr>
            </w:pPr>
          </w:p>
        </w:tc>
        <w:tc>
          <w:tcPr>
            <w:tcW w:w="400" w:type="dxa"/>
            <w:vAlign w:val="bottom"/>
            <w:tcBorders>
              <w:bottom w:val="single" w:sz="8" w:color="C5C6C6"/>
            </w:tcBorders>
          </w:tcPr>
          <w:p>
            <w:pPr>
              <w:spacing w:after="0"/>
              <w:rPr>
                <w:sz w:val="24"/>
                <w:szCs w:val="24"/>
                <w:color w:val="auto"/>
              </w:rPr>
            </w:pPr>
          </w:p>
        </w:tc>
        <w:tc>
          <w:tcPr>
            <w:tcW w:w="200" w:type="dxa"/>
            <w:vAlign w:val="bottom"/>
            <w:tcBorders>
              <w:bottom w:val="single" w:sz="8" w:color="C5C6C6"/>
            </w:tcBorders>
          </w:tcPr>
          <w:p>
            <w:pPr>
              <w:spacing w:after="0"/>
              <w:rPr>
                <w:sz w:val="24"/>
                <w:szCs w:val="24"/>
                <w:color w:val="auto"/>
              </w:rPr>
            </w:pPr>
          </w:p>
        </w:tc>
        <w:tc>
          <w:tcPr>
            <w:tcW w:w="400" w:type="dxa"/>
            <w:vAlign w:val="bottom"/>
            <w:tcBorders>
              <w:bottom w:val="single" w:sz="8" w:color="353E5E"/>
            </w:tcBorders>
            <w:shd w:val="clear" w:color="auto" w:fill="353E5E"/>
          </w:tcPr>
          <w:p>
            <w:pPr>
              <w:spacing w:after="0"/>
              <w:rPr>
                <w:sz w:val="24"/>
                <w:szCs w:val="24"/>
                <w:color w:val="auto"/>
              </w:rPr>
            </w:pPr>
          </w:p>
        </w:tc>
        <w:tc>
          <w:tcPr>
            <w:tcW w:w="100" w:type="dxa"/>
            <w:vAlign w:val="bottom"/>
            <w:tcBorders>
              <w:bottom w:val="single" w:sz="8" w:color="C5C6C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41"/>
        <w:spacing w:after="0"/>
        <w:tabs>
          <w:tab w:leader="none" w:pos="741" w:val="left"/>
          <w:tab w:leader="none" w:pos="1341" w:val="left"/>
          <w:tab w:leader="none" w:pos="1941" w:val="left"/>
          <w:tab w:leader="none" w:pos="2541" w:val="left"/>
          <w:tab w:leader="none" w:pos="3601" w:val="left"/>
          <w:tab w:leader="none" w:pos="4221" w:val="left"/>
          <w:tab w:leader="none" w:pos="4821" w:val="left"/>
          <w:tab w:leader="none" w:pos="5421" w:val="left"/>
          <w:tab w:leader="none" w:pos="6041" w:val="left"/>
          <w:tab w:leader="none" w:pos="7101" w:val="left"/>
          <w:tab w:leader="none" w:pos="7701" w:val="left"/>
          <w:tab w:leader="none" w:pos="8321" w:val="left"/>
          <w:tab w:leader="none" w:pos="8921" w:val="left"/>
          <w:tab w:leader="none" w:pos="9521" w:val="left"/>
        </w:tabs>
        <w:rPr>
          <w:sz w:val="20"/>
          <w:szCs w:val="20"/>
          <w:color w:val="auto"/>
        </w:rPr>
      </w:pPr>
      <w:r>
        <w:rPr>
          <w:rFonts w:ascii="Arial" w:cs="Arial" w:eastAsia="Arial" w:hAnsi="Arial"/>
          <w:sz w:val="15"/>
          <w:szCs w:val="15"/>
          <w:color w:val="2F2F2E"/>
        </w:rPr>
        <w:t>2022</w:t>
      </w:r>
      <w:r>
        <w:rPr>
          <w:sz w:val="20"/>
          <w:szCs w:val="20"/>
          <w:color w:val="auto"/>
        </w:rPr>
        <w:tab/>
      </w:r>
      <w:r>
        <w:rPr>
          <w:rFonts w:ascii="Arial" w:cs="Arial" w:eastAsia="Arial" w:hAnsi="Arial"/>
          <w:sz w:val="15"/>
          <w:szCs w:val="15"/>
          <w:color w:val="2F2F2E"/>
        </w:rPr>
        <w:t>2023</w:t>
      </w:r>
      <w:r>
        <w:rPr>
          <w:sz w:val="20"/>
          <w:szCs w:val="20"/>
          <w:color w:val="auto"/>
        </w:rPr>
        <w:tab/>
      </w:r>
      <w:r>
        <w:rPr>
          <w:rFonts w:ascii="Arial" w:cs="Arial" w:eastAsia="Arial" w:hAnsi="Arial"/>
          <w:sz w:val="15"/>
          <w:szCs w:val="15"/>
          <w:color w:val="2F2F2E"/>
        </w:rPr>
        <w:t>2024</w:t>
      </w:r>
      <w:r>
        <w:rPr>
          <w:sz w:val="20"/>
          <w:szCs w:val="20"/>
          <w:color w:val="auto"/>
        </w:rPr>
        <w:tab/>
      </w:r>
      <w:r>
        <w:rPr>
          <w:rFonts w:ascii="Arial" w:cs="Arial" w:eastAsia="Arial" w:hAnsi="Arial"/>
          <w:sz w:val="15"/>
          <w:szCs w:val="15"/>
          <w:color w:val="2F2F2E"/>
        </w:rPr>
        <w:t>2025</w:t>
      </w:r>
      <w:r>
        <w:rPr>
          <w:sz w:val="20"/>
          <w:szCs w:val="20"/>
          <w:color w:val="auto"/>
        </w:rPr>
        <w:tab/>
      </w:r>
      <w:r>
        <w:rPr>
          <w:rFonts w:ascii="Arial" w:cs="Arial" w:eastAsia="Arial" w:hAnsi="Arial"/>
          <w:sz w:val="15"/>
          <w:szCs w:val="15"/>
          <w:color w:val="2F2F2E"/>
        </w:rPr>
        <w:t>2026</w:t>
      </w:r>
      <w:r>
        <w:rPr>
          <w:sz w:val="20"/>
          <w:szCs w:val="20"/>
          <w:color w:val="auto"/>
        </w:rPr>
        <w:tab/>
      </w:r>
      <w:r>
        <w:rPr>
          <w:rFonts w:ascii="Arial" w:cs="Arial" w:eastAsia="Arial" w:hAnsi="Arial"/>
          <w:sz w:val="15"/>
          <w:szCs w:val="15"/>
          <w:color w:val="2F2F2E"/>
        </w:rPr>
        <w:t>2022</w:t>
      </w:r>
      <w:r>
        <w:rPr>
          <w:sz w:val="20"/>
          <w:szCs w:val="20"/>
          <w:color w:val="auto"/>
        </w:rPr>
        <w:tab/>
      </w:r>
      <w:r>
        <w:rPr>
          <w:rFonts w:ascii="Arial" w:cs="Arial" w:eastAsia="Arial" w:hAnsi="Arial"/>
          <w:sz w:val="15"/>
          <w:szCs w:val="15"/>
          <w:color w:val="2F2F2E"/>
        </w:rPr>
        <w:t>2023</w:t>
      </w:r>
      <w:r>
        <w:rPr>
          <w:sz w:val="20"/>
          <w:szCs w:val="20"/>
          <w:color w:val="auto"/>
        </w:rPr>
        <w:tab/>
      </w:r>
      <w:r>
        <w:rPr>
          <w:rFonts w:ascii="Arial" w:cs="Arial" w:eastAsia="Arial" w:hAnsi="Arial"/>
          <w:sz w:val="15"/>
          <w:szCs w:val="15"/>
          <w:color w:val="2F2F2E"/>
        </w:rPr>
        <w:t>2024</w:t>
      </w:r>
      <w:r>
        <w:rPr>
          <w:sz w:val="20"/>
          <w:szCs w:val="20"/>
          <w:color w:val="auto"/>
        </w:rPr>
        <w:tab/>
      </w:r>
      <w:r>
        <w:rPr>
          <w:rFonts w:ascii="Arial" w:cs="Arial" w:eastAsia="Arial" w:hAnsi="Arial"/>
          <w:sz w:val="15"/>
          <w:szCs w:val="15"/>
          <w:color w:val="2F2F2E"/>
        </w:rPr>
        <w:t>2025</w:t>
      </w:r>
      <w:r>
        <w:rPr>
          <w:sz w:val="20"/>
          <w:szCs w:val="20"/>
          <w:color w:val="auto"/>
        </w:rPr>
        <w:tab/>
      </w:r>
      <w:r>
        <w:rPr>
          <w:rFonts w:ascii="Arial" w:cs="Arial" w:eastAsia="Arial" w:hAnsi="Arial"/>
          <w:sz w:val="15"/>
          <w:szCs w:val="15"/>
          <w:color w:val="2F2F2E"/>
        </w:rPr>
        <w:t>2026</w:t>
      </w:r>
      <w:r>
        <w:rPr>
          <w:sz w:val="20"/>
          <w:szCs w:val="20"/>
          <w:color w:val="auto"/>
        </w:rPr>
        <w:tab/>
      </w:r>
      <w:r>
        <w:rPr>
          <w:rFonts w:ascii="Arial" w:cs="Arial" w:eastAsia="Arial" w:hAnsi="Arial"/>
          <w:sz w:val="15"/>
          <w:szCs w:val="15"/>
          <w:color w:val="2F2F2E"/>
        </w:rPr>
        <w:t>2022</w:t>
      </w:r>
      <w:r>
        <w:rPr>
          <w:sz w:val="20"/>
          <w:szCs w:val="20"/>
          <w:color w:val="auto"/>
        </w:rPr>
        <w:tab/>
      </w:r>
      <w:r>
        <w:rPr>
          <w:rFonts w:ascii="Arial" w:cs="Arial" w:eastAsia="Arial" w:hAnsi="Arial"/>
          <w:sz w:val="15"/>
          <w:szCs w:val="15"/>
          <w:color w:val="2F2F2E"/>
        </w:rPr>
        <w:t>2023</w:t>
      </w:r>
      <w:r>
        <w:rPr>
          <w:sz w:val="20"/>
          <w:szCs w:val="20"/>
          <w:color w:val="auto"/>
        </w:rPr>
        <w:tab/>
      </w:r>
      <w:r>
        <w:rPr>
          <w:rFonts w:ascii="Arial" w:cs="Arial" w:eastAsia="Arial" w:hAnsi="Arial"/>
          <w:sz w:val="15"/>
          <w:szCs w:val="15"/>
          <w:color w:val="2F2F2E"/>
        </w:rPr>
        <w:t>2024</w:t>
      </w:r>
      <w:r>
        <w:rPr>
          <w:sz w:val="20"/>
          <w:szCs w:val="20"/>
          <w:color w:val="auto"/>
        </w:rPr>
        <w:tab/>
      </w:r>
      <w:r>
        <w:rPr>
          <w:rFonts w:ascii="Arial" w:cs="Arial" w:eastAsia="Arial" w:hAnsi="Arial"/>
          <w:sz w:val="15"/>
          <w:szCs w:val="15"/>
          <w:color w:val="2F2F2E"/>
        </w:rPr>
        <w:t>2025</w:t>
      </w:r>
      <w:r>
        <w:rPr>
          <w:sz w:val="20"/>
          <w:szCs w:val="20"/>
          <w:color w:val="auto"/>
        </w:rPr>
        <w:tab/>
      </w:r>
      <w:r>
        <w:rPr>
          <w:rFonts w:ascii="Arial" w:cs="Arial" w:eastAsia="Arial" w:hAnsi="Arial"/>
          <w:sz w:val="14"/>
          <w:szCs w:val="14"/>
          <w:color w:val="2F2F2E"/>
        </w:rPr>
        <w:t>2026</w:t>
      </w:r>
    </w:p>
    <w:p>
      <w:pPr>
        <w:spacing w:after="0" w:line="399" w:lineRule="exact"/>
        <w:rPr>
          <w:sz w:val="20"/>
          <w:szCs w:val="20"/>
          <w:color w:val="auto"/>
        </w:rPr>
      </w:pPr>
    </w:p>
    <w:p>
      <w:pPr>
        <w:ind w:left="201" w:right="40" w:hanging="201"/>
        <w:spacing w:after="0" w:line="256" w:lineRule="auto"/>
        <w:tabs>
          <w:tab w:leader="none" w:pos="199" w:val="left"/>
        </w:tabs>
        <w:numPr>
          <w:ilvl w:val="0"/>
          <w:numId w:val="1"/>
        </w:numPr>
        <w:rPr>
          <w:rFonts w:ascii="Arial" w:cs="Arial" w:eastAsia="Arial" w:hAnsi="Arial"/>
          <w:sz w:val="16"/>
          <w:szCs w:val="16"/>
          <w:color w:val="2F2F2E"/>
        </w:rPr>
      </w:pPr>
      <w:r>
        <w:rPr>
          <w:rFonts w:ascii="Arial" w:cs="Arial" w:eastAsia="Arial" w:hAnsi="Arial"/>
          <w:sz w:val="16"/>
          <w:szCs w:val="16"/>
          <w:color w:val="2F2F2E"/>
        </w:rPr>
        <w:t>Organic revenue growth, adjusted net income, adjusted diluted earnings per share, and adjusted EBITDA are non-GAAP financial measures and are reconciled to the reported GAAP figures in Exhibit 99.1 and 99.2 accompanying our earnings release filed with the Securities and Exchange Commission on May 13, 2026.</w:t>
      </w:r>
    </w:p>
    <w:p>
      <w:pPr>
        <w:spacing w:after="0" w:line="47" w:lineRule="exact"/>
        <w:rPr>
          <w:rFonts w:ascii="Arial" w:cs="Arial" w:eastAsia="Arial" w:hAnsi="Arial"/>
          <w:sz w:val="16"/>
          <w:szCs w:val="16"/>
          <w:color w:val="2F2F2E"/>
        </w:rPr>
      </w:pPr>
    </w:p>
    <w:p>
      <w:pPr>
        <w:ind w:left="221" w:hanging="221"/>
        <w:spacing w:after="0"/>
        <w:tabs>
          <w:tab w:leader="none" w:pos="221" w:val="left"/>
        </w:tabs>
        <w:numPr>
          <w:ilvl w:val="0"/>
          <w:numId w:val="2"/>
        </w:numPr>
        <w:rPr>
          <w:rFonts w:ascii="Arial" w:cs="Arial" w:eastAsia="Arial" w:hAnsi="Arial"/>
          <w:sz w:val="16"/>
          <w:szCs w:val="16"/>
          <w:color w:val="2F2F2E"/>
        </w:rPr>
      </w:pPr>
      <w:r>
        <w:rPr>
          <w:rFonts w:ascii="Arial" w:cs="Arial" w:eastAsia="Arial" w:hAnsi="Arial"/>
          <w:sz w:val="16"/>
          <w:szCs w:val="16"/>
          <w:color w:val="2F2F2E"/>
        </w:rPr>
        <w:t>Free cash flow and adjusted free cash flow are non-GAAP financial measures. Management believes free cash flow is a commonly</w:t>
      </w:r>
    </w:p>
    <w:p>
      <w:pPr>
        <w:spacing w:after="0" w:line="8" w:lineRule="exact"/>
        <w:rPr>
          <w:sz w:val="20"/>
          <w:szCs w:val="20"/>
          <w:color w:val="auto"/>
        </w:rPr>
      </w:pPr>
    </w:p>
    <w:p>
      <w:pPr>
        <w:ind w:left="201" w:right="220"/>
        <w:spacing w:after="0" w:line="256" w:lineRule="auto"/>
        <w:rPr>
          <w:sz w:val="20"/>
          <w:szCs w:val="20"/>
          <w:color w:val="auto"/>
        </w:rPr>
      </w:pPr>
      <w:r>
        <w:rPr>
          <w:rFonts w:ascii="Arial" w:cs="Arial" w:eastAsia="Arial" w:hAnsi="Arial"/>
          <w:sz w:val="16"/>
          <w:szCs w:val="16"/>
          <w:color w:val="2F2F2E"/>
        </w:rPr>
        <w:t>used measure of liquidity, indicative of cash available for capital allocation. Free cash flow and adjusted free cash flow are reconciled to GAAP Net Cash provided by operating activities in Exhibit 99.1 and 99.2 accompanying our earnings release filed with the Securities and Exchange Commission on May 13, 2026.</w:t>
      </w:r>
    </w:p>
    <w:p>
      <w:pPr>
        <w:spacing w:after="0" w:line="47" w:lineRule="exact"/>
        <w:rPr>
          <w:sz w:val="20"/>
          <w:szCs w:val="20"/>
          <w:color w:val="auto"/>
        </w:rPr>
      </w:pPr>
    </w:p>
    <w:p>
      <w:pPr>
        <w:jc w:val="both"/>
        <w:ind w:left="201" w:right="360" w:hanging="1"/>
        <w:spacing w:after="0" w:line="262" w:lineRule="auto"/>
        <w:rPr>
          <w:sz w:val="20"/>
          <w:szCs w:val="20"/>
          <w:color w:val="auto"/>
        </w:rPr>
      </w:pPr>
      <w:r>
        <w:rPr>
          <w:rFonts w:ascii="Arial" w:cs="Arial" w:eastAsia="Arial" w:hAnsi="Arial"/>
          <w:sz w:val="16"/>
          <w:szCs w:val="16"/>
          <w:color w:val="2F2F2E"/>
        </w:rPr>
        <w:t>Management believes that these measures provide additional ways to view our operations and a more complete understanding of our business than could be obtained absent this disclosure, when considered with both our GAAP results and our reconciliation therewith.</w:t>
      </w:r>
    </w:p>
    <w:p>
      <w:pPr>
        <w:sectPr>
          <w:pgSz w:w="11880" w:h="15480" w:orient="portrait"/>
          <w:cols w:equalWidth="0" w:num="1">
            <w:col w:w="10081"/>
          </w:cols>
          <w:pgMar w:left="899" w:top="128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
        <w:spacing w:after="0"/>
        <w:tabs>
          <w:tab w:leader="none" w:pos="8201" w:val="left"/>
          <w:tab w:leader="none" w:pos="9901" w:val="left"/>
        </w:tabs>
        <w:rPr>
          <w:sz w:val="20"/>
          <w:szCs w:val="20"/>
          <w:color w:val="auto"/>
        </w:rPr>
      </w:pPr>
      <w:r>
        <w:rPr>
          <w:rFonts w:ascii="Arial" w:cs="Arial" w:eastAsia="Arial" w:hAnsi="Arial"/>
          <w:sz w:val="16"/>
          <w:szCs w:val="16"/>
          <w:b w:val="1"/>
          <w:bCs w:val="1"/>
          <w:color w:val="353E5E"/>
        </w:rPr>
        <w:t>Prestige Consumer Healthcare Inc.</w:t>
      </w:r>
      <w:r>
        <w:rPr>
          <w:sz w:val="20"/>
          <w:szCs w:val="20"/>
          <w:color w:val="auto"/>
        </w:rPr>
        <w:tab/>
      </w:r>
      <w:r>
        <w:rPr>
          <w:rFonts w:ascii="Arial" w:cs="Arial" w:eastAsia="Arial" w:hAnsi="Arial"/>
          <w:sz w:val="16"/>
          <w:szCs w:val="16"/>
          <w:color w:val="2F2F2E"/>
        </w:rPr>
        <w:t>2026 Annual Report</w:t>
      </w:r>
      <w:r>
        <w:rPr>
          <w:sz w:val="20"/>
          <w:szCs w:val="20"/>
          <w:color w:val="auto"/>
        </w:rPr>
        <w:tab/>
      </w:r>
      <w:r>
        <w:rPr>
          <w:rFonts w:ascii="Arial" w:cs="Arial" w:eastAsia="Arial" w:hAnsi="Arial"/>
          <w:sz w:val="16"/>
          <w:szCs w:val="16"/>
          <w:b w:val="1"/>
          <w:bCs w:val="1"/>
          <w:color w:val="353E5E"/>
        </w:rPr>
        <w:t>1</w:t>
      </w:r>
    </w:p>
    <w:p>
      <w:pPr>
        <w:sectPr>
          <w:pgSz w:w="11880" w:h="15480" w:orient="portrait"/>
          <w:cols w:equalWidth="0" w:num="1">
            <w:col w:w="10081"/>
          </w:cols>
          <w:pgMar w:left="899" w:top="1284" w:right="900" w:bottom="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3676015" cy="9829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3676015"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58"/>
          <w:szCs w:val="58"/>
          <w:color w:val="353E5E"/>
        </w:rPr>
        <w:t>FELLOW</w:t>
      </w:r>
    </w:p>
    <w:p>
      <w:pPr>
        <w:spacing w:after="0"/>
        <w:rPr>
          <w:sz w:val="20"/>
          <w:szCs w:val="20"/>
          <w:color w:val="auto"/>
        </w:rPr>
      </w:pPr>
      <w:r>
        <w:rPr>
          <w:rFonts w:ascii="Arial" w:cs="Arial" w:eastAsia="Arial" w:hAnsi="Arial"/>
          <w:sz w:val="46"/>
          <w:szCs w:val="46"/>
          <w:b w:val="1"/>
          <w:bCs w:val="1"/>
          <w:color w:val="353E5E"/>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353E5E"/>
        </w:rPr>
        <w:t>Ron Lombardi</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353E5E"/>
        </w:rPr>
        <w:t>Chair,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60" w:hanging="395"/>
        <w:spacing w:after="0"/>
        <w:tabs>
          <w:tab w:leader="none" w:pos="460" w:val="left"/>
        </w:tabs>
        <w:numPr>
          <w:ilvl w:val="0"/>
          <w:numId w:val="3"/>
        </w:numPr>
        <w:rPr>
          <w:rFonts w:ascii="Arial" w:cs="Arial" w:eastAsia="Arial" w:hAnsi="Arial"/>
          <w:sz w:val="16"/>
          <w:szCs w:val="16"/>
          <w:b w:val="1"/>
          <w:bCs w:val="1"/>
          <w:color w:val="FFFFFF"/>
        </w:rPr>
      </w:pPr>
      <w:r>
        <w:rPr>
          <w:rFonts w:ascii="Arial" w:cs="Arial" w:eastAsia="Arial" w:hAnsi="Arial"/>
          <w:sz w:val="16"/>
          <w:szCs w:val="16"/>
          <w:color w:val="FFFFFF"/>
        </w:rPr>
        <w:t>2026 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 w:right="320"/>
        <w:spacing w:after="0" w:line="283" w:lineRule="auto"/>
        <w:rPr>
          <w:sz w:val="20"/>
          <w:szCs w:val="20"/>
          <w:color w:val="auto"/>
        </w:rPr>
      </w:pPr>
      <w:r>
        <w:rPr>
          <w:rFonts w:ascii="Arial" w:cs="Arial" w:eastAsia="Arial" w:hAnsi="Arial"/>
          <w:sz w:val="23"/>
          <w:szCs w:val="23"/>
          <w:color w:val="353E5E"/>
        </w:rPr>
        <w:t>Fiscal 2026 was a defining year for Prestige Consumer Healthcare—one that showcased both the resilience of our three-pillar strategy and our commitment to building long-term shareholder value. Against a backdrop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-2548890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1" w:right="140"/>
        <w:spacing w:after="0" w:line="275" w:lineRule="auto"/>
        <w:rPr>
          <w:sz w:val="20"/>
          <w:szCs w:val="20"/>
          <w:color w:val="auto"/>
        </w:rPr>
      </w:pPr>
      <w:r>
        <w:rPr>
          <w:rFonts w:ascii="Arial" w:cs="Arial" w:eastAsia="Arial" w:hAnsi="Arial"/>
          <w:sz w:val="24"/>
          <w:szCs w:val="24"/>
          <w:color w:val="353E5E"/>
        </w:rPr>
        <w:t>of macroeconomic volatility, geopolitical uncertainty, and supply chain disruptions in our eye care business, we remained steadfast in our strategic priorities. We invested behind our brands, grew free cash flow, and executed the most significant capital deployment in our company’s history with the acquisition of Breathe Right</w:t>
      </w:r>
      <w:r>
        <w:rPr>
          <w:rFonts w:ascii="Arial" w:cs="Arial" w:eastAsia="Arial" w:hAnsi="Arial"/>
          <w:sz w:val="14"/>
          <w:szCs w:val="14"/>
          <w:color w:val="353E5E"/>
        </w:rPr>
        <w:t>®</w:t>
      </w:r>
      <w:r>
        <w:rPr>
          <w:rFonts w:ascii="Arial" w:cs="Arial" w:eastAsia="Arial" w:hAnsi="Arial"/>
          <w:sz w:val="24"/>
          <w:szCs w:val="24"/>
          <w:color w:val="353E5E"/>
        </w:rPr>
        <w:t xml:space="preserve"> and forthcoming acquisition of LaCorium Health—transactions that will meaningfully expand our platform and enhance our long-term growth trajectory.</w:t>
      </w:r>
    </w:p>
    <w:p>
      <w:pPr>
        <w:spacing w:after="0" w:line="121" w:lineRule="exact"/>
        <w:rPr>
          <w:sz w:val="20"/>
          <w:szCs w:val="20"/>
          <w:color w:val="auto"/>
        </w:rPr>
      </w:pPr>
    </w:p>
    <w:p>
      <w:pPr>
        <w:ind w:left="1" w:right="60"/>
        <w:spacing w:after="0" w:line="280" w:lineRule="auto"/>
        <w:rPr>
          <w:sz w:val="20"/>
          <w:szCs w:val="20"/>
          <w:color w:val="auto"/>
        </w:rPr>
      </w:pPr>
      <w:r>
        <w:rPr>
          <w:rFonts w:ascii="Arial" w:cs="Arial" w:eastAsia="Arial" w:hAnsi="Arial"/>
          <w:sz w:val="20"/>
          <w:szCs w:val="20"/>
          <w:color w:val="353E5E"/>
        </w:rPr>
        <w:t>These accomplishments reflect the discipline and consistency of our operating model, which is anchored by three core strategic priorities:</w:t>
      </w:r>
    </w:p>
    <w:p>
      <w:pPr>
        <w:spacing w:after="0" w:line="115" w:lineRule="exact"/>
        <w:rPr>
          <w:sz w:val="20"/>
          <w:szCs w:val="20"/>
          <w:color w:val="auto"/>
        </w:rPr>
      </w:pPr>
    </w:p>
    <w:p>
      <w:pPr>
        <w:ind w:left="201" w:hanging="201"/>
        <w:spacing w:after="0"/>
        <w:tabs>
          <w:tab w:leader="none" w:pos="201" w:val="left"/>
        </w:tabs>
        <w:numPr>
          <w:ilvl w:val="0"/>
          <w:numId w:val="4"/>
        </w:numPr>
        <w:rPr>
          <w:rFonts w:ascii="Wingdings" w:cs="Wingdings" w:eastAsia="Wingdings" w:hAnsi="Wingdings"/>
          <w:sz w:val="18"/>
          <w:szCs w:val="18"/>
          <w:b w:val="1"/>
          <w:bCs w:val="1"/>
          <w:color w:val="942D34"/>
        </w:rPr>
      </w:pPr>
      <w:r>
        <w:rPr>
          <w:rFonts w:ascii="Arial" w:cs="Arial" w:eastAsia="Arial" w:hAnsi="Arial"/>
          <w:sz w:val="18"/>
          <w:szCs w:val="18"/>
          <w:color w:val="353E5E"/>
        </w:rPr>
        <w:t>Brand building and innovation</w:t>
      </w:r>
    </w:p>
    <w:p>
      <w:pPr>
        <w:spacing w:after="0" w:line="93" w:lineRule="exact"/>
        <w:rPr>
          <w:rFonts w:ascii="Wingdings" w:cs="Wingdings" w:eastAsia="Wingdings" w:hAnsi="Wingdings"/>
          <w:sz w:val="18"/>
          <w:szCs w:val="18"/>
          <w:b w:val="1"/>
          <w:bCs w:val="1"/>
          <w:color w:val="942D34"/>
        </w:rPr>
      </w:pPr>
    </w:p>
    <w:p>
      <w:pPr>
        <w:ind w:left="201" w:hanging="201"/>
        <w:spacing w:after="0"/>
        <w:tabs>
          <w:tab w:leader="none" w:pos="201" w:val="left"/>
        </w:tabs>
        <w:numPr>
          <w:ilvl w:val="0"/>
          <w:numId w:val="4"/>
        </w:numPr>
        <w:rPr>
          <w:rFonts w:ascii="Wingdings" w:cs="Wingdings" w:eastAsia="Wingdings" w:hAnsi="Wingdings"/>
          <w:sz w:val="18"/>
          <w:szCs w:val="18"/>
          <w:b w:val="1"/>
          <w:bCs w:val="1"/>
          <w:color w:val="942D34"/>
        </w:rPr>
      </w:pPr>
      <w:r>
        <w:rPr>
          <w:rFonts w:ascii="Arial" w:cs="Arial" w:eastAsia="Arial" w:hAnsi="Arial"/>
          <w:sz w:val="18"/>
          <w:szCs w:val="18"/>
          <w:color w:val="353E5E"/>
        </w:rPr>
        <w:t>Maintaining a strong financial profile</w:t>
      </w:r>
    </w:p>
    <w:p>
      <w:pPr>
        <w:spacing w:after="0" w:line="93" w:lineRule="exact"/>
        <w:rPr>
          <w:rFonts w:ascii="Wingdings" w:cs="Wingdings" w:eastAsia="Wingdings" w:hAnsi="Wingdings"/>
          <w:sz w:val="18"/>
          <w:szCs w:val="18"/>
          <w:b w:val="1"/>
          <w:bCs w:val="1"/>
          <w:color w:val="942D34"/>
        </w:rPr>
      </w:pPr>
    </w:p>
    <w:p>
      <w:pPr>
        <w:ind w:left="201" w:hanging="201"/>
        <w:spacing w:after="0"/>
        <w:tabs>
          <w:tab w:leader="none" w:pos="201" w:val="left"/>
        </w:tabs>
        <w:numPr>
          <w:ilvl w:val="0"/>
          <w:numId w:val="4"/>
        </w:numPr>
        <w:rPr>
          <w:rFonts w:ascii="Wingdings" w:cs="Wingdings" w:eastAsia="Wingdings" w:hAnsi="Wingdings"/>
          <w:sz w:val="18"/>
          <w:szCs w:val="18"/>
          <w:b w:val="1"/>
          <w:bCs w:val="1"/>
          <w:color w:val="942D34"/>
        </w:rPr>
      </w:pPr>
      <w:r>
        <w:rPr>
          <w:rFonts w:ascii="Arial" w:cs="Arial" w:eastAsia="Arial" w:hAnsi="Arial"/>
          <w:sz w:val="18"/>
          <w:szCs w:val="18"/>
          <w:color w:val="353E5E"/>
        </w:rPr>
        <w:t>Disciplined capital allocation</w:t>
      </w:r>
    </w:p>
    <w:p>
      <w:pPr>
        <w:spacing w:after="0" w:line="213" w:lineRule="exact"/>
        <w:rPr>
          <w:sz w:val="20"/>
          <w:szCs w:val="20"/>
          <w:color w:val="auto"/>
        </w:rPr>
      </w:pPr>
    </w:p>
    <w:p>
      <w:pPr>
        <w:jc w:val="both"/>
        <w:ind w:left="1" w:right="80"/>
        <w:spacing w:after="0" w:line="301" w:lineRule="auto"/>
        <w:rPr>
          <w:sz w:val="20"/>
          <w:szCs w:val="20"/>
          <w:color w:val="auto"/>
        </w:rPr>
      </w:pPr>
      <w:r>
        <w:rPr>
          <w:rFonts w:ascii="Arial" w:cs="Arial" w:eastAsia="Arial" w:hAnsi="Arial"/>
          <w:sz w:val="18"/>
          <w:szCs w:val="18"/>
          <w:color w:val="353E5E"/>
        </w:rPr>
        <w:t>This three-pillar strategy has proven its effectiveness over the past 15 years, driving organic growth and creating a powerful compounding effect through disciplined capital allocation.</w:t>
      </w:r>
    </w:p>
    <w:p>
      <w:pPr>
        <w:spacing w:after="0" w:line="1" w:lineRule="exact"/>
        <w:rPr>
          <w:sz w:val="20"/>
          <w:szCs w:val="20"/>
          <w:color w:val="auto"/>
        </w:rPr>
      </w:pPr>
    </w:p>
    <w:p>
      <w:pPr>
        <w:ind w:left="1"/>
        <w:spacing w:after="0" w:line="335" w:lineRule="auto"/>
        <w:rPr>
          <w:sz w:val="20"/>
          <w:szCs w:val="20"/>
          <w:color w:val="auto"/>
        </w:rPr>
      </w:pPr>
      <w:r>
        <w:rPr>
          <w:rFonts w:ascii="Arial" w:cs="Arial" w:eastAsia="Arial" w:hAnsi="Arial"/>
          <w:sz w:val="17"/>
          <w:szCs w:val="17"/>
          <w:color w:val="353E5E"/>
        </w:rPr>
        <w:t>Over this period, the combination of our organic growth engine and strategic M&amp;A has delivered over 8% revenue and 12% adjusted diluted earnings per share CAGR*—a track record that demonstrates how our consistent operating model translates strategic discipline into measurable shareholder value.</w:t>
      </w:r>
    </w:p>
    <w:p>
      <w:pPr>
        <w:spacing w:after="0" w:line="96" w:lineRule="exact"/>
        <w:rPr>
          <w:sz w:val="20"/>
          <w:szCs w:val="20"/>
          <w:color w:val="auto"/>
        </w:rPr>
      </w:pPr>
    </w:p>
    <w:p>
      <w:pPr>
        <w:ind w:left="1" w:right="80"/>
        <w:spacing w:after="0" w:line="290" w:lineRule="auto"/>
        <w:rPr>
          <w:sz w:val="20"/>
          <w:szCs w:val="20"/>
          <w:color w:val="auto"/>
        </w:rPr>
      </w:pPr>
      <w:r>
        <w:rPr>
          <w:rFonts w:ascii="Arial" w:cs="Arial" w:eastAsia="Arial" w:hAnsi="Arial"/>
          <w:sz w:val="19"/>
          <w:szCs w:val="19"/>
          <w:color w:val="353E5E"/>
        </w:rPr>
        <w:t>As we look ahead, we remain committed to these proven principles. With the same operational rigor and strategic focus that has driven our success, we expect to deliver strong growth of 10% revenue CAGR and over 8% adjusted earnings per share CAGR through 2029. This forecast reflects the same disciplined approach that has consistently created value for our shareholders.</w:t>
      </w:r>
    </w:p>
    <w:p>
      <w:pPr>
        <w:spacing w:after="0" w:line="245" w:lineRule="exact"/>
        <w:rPr>
          <w:sz w:val="20"/>
          <w:szCs w:val="20"/>
          <w:color w:val="auto"/>
        </w:rPr>
      </w:pPr>
    </w:p>
    <w:p>
      <w:pPr>
        <w:ind w:left="201" w:right="300" w:hanging="201"/>
        <w:spacing w:after="0" w:line="276" w:lineRule="auto"/>
        <w:tabs>
          <w:tab w:leader="none" w:pos="199" w:val="left"/>
        </w:tabs>
        <w:numPr>
          <w:ilvl w:val="0"/>
          <w:numId w:val="5"/>
        </w:numPr>
        <w:rPr>
          <w:rFonts w:ascii="Arial" w:cs="Arial" w:eastAsia="Arial" w:hAnsi="Arial"/>
          <w:sz w:val="15"/>
          <w:szCs w:val="15"/>
          <w:color w:val="2F2F2E"/>
        </w:rPr>
      </w:pPr>
      <w:r>
        <w:rPr>
          <w:rFonts w:ascii="Arial" w:cs="Arial" w:eastAsia="Arial" w:hAnsi="Arial"/>
          <w:sz w:val="15"/>
          <w:szCs w:val="15"/>
          <w:color w:val="2F2F2E"/>
        </w:rPr>
        <w:t>Revenue and Adjusted Diluted EPS compare periods Fiscal 2011 and Fiscal 2026 and are reconciled in Exhibit 99.1 and 99.2 accompanying our earnings release filed with the Securities and Exchange Commission on May 12, 2011 and May 13, 2026.</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53E5E"/>
        </w:rPr>
        <w:t>Prestige Consumer Healthcare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256540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2">
            <w:col w:w="4319" w:space="720"/>
            <w:col w:w="5041"/>
          </w:cols>
          <w:pgMar w:left="900" w:top="1440" w:right="900" w:bottom="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353E5E"/>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t>Letter to Our Shareholders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920"/>
        <w:spacing w:after="0" w:line="238" w:lineRule="auto"/>
        <w:rPr>
          <w:sz w:val="20"/>
          <w:szCs w:val="20"/>
          <w:color w:val="auto"/>
        </w:rPr>
      </w:pPr>
      <w:r>
        <w:rPr>
          <w:rFonts w:ascii="Arial" w:cs="Arial" w:eastAsia="Arial" w:hAnsi="Arial"/>
          <w:sz w:val="40"/>
          <w:szCs w:val="40"/>
          <w:b w:val="1"/>
          <w:bCs w:val="1"/>
          <w:color w:val="515150"/>
        </w:rPr>
        <w:t>Investing for Growth with Our Proven Brand-Building Playbook</w:t>
      </w:r>
    </w:p>
    <w:p>
      <w:pPr>
        <w:spacing w:after="0" w:line="151" w:lineRule="exact"/>
        <w:rPr>
          <w:sz w:val="20"/>
          <w:szCs w:val="20"/>
          <w:color w:val="auto"/>
        </w:rPr>
      </w:pPr>
    </w:p>
    <w:p>
      <w:pPr>
        <w:ind w:right="1000"/>
        <w:spacing w:after="0" w:line="307" w:lineRule="auto"/>
        <w:rPr>
          <w:sz w:val="20"/>
          <w:szCs w:val="20"/>
          <w:color w:val="auto"/>
        </w:rPr>
      </w:pPr>
      <w:r>
        <w:rPr>
          <w:rFonts w:ascii="Arial" w:cs="Arial" w:eastAsia="Arial" w:hAnsi="Arial"/>
          <w:sz w:val="17"/>
          <w:szCs w:val="17"/>
          <w:color w:val="2F2F2E"/>
        </w:rPr>
        <w:t>Our brand-building strategy is built on a simple but powerful foundation: consumer insights that drive effective marketing, relevant innovation that solves unmet needs, and broad distribution that ensures our products are available wherever consumers shop. In fiscal 2026, this playbook continued to generate results across much of the portfolio.</w:t>
      </w:r>
    </w:p>
    <w:p>
      <w:pPr>
        <w:spacing w:after="0" w:line="130" w:lineRule="exact"/>
        <w:rPr>
          <w:sz w:val="20"/>
          <w:szCs w:val="20"/>
          <w:color w:val="auto"/>
        </w:rPr>
      </w:pPr>
    </w:p>
    <w:p>
      <w:pPr>
        <w:jc w:val="both"/>
        <w:ind w:right="1080"/>
        <w:spacing w:after="0" w:line="278" w:lineRule="auto"/>
        <w:rPr>
          <w:sz w:val="20"/>
          <w:szCs w:val="20"/>
          <w:color w:val="auto"/>
        </w:rPr>
      </w:pPr>
      <w:r>
        <w:rPr>
          <w:rFonts w:ascii="Arial" w:cs="Arial" w:eastAsia="Arial" w:hAnsi="Arial"/>
          <w:sz w:val="18"/>
          <w:szCs w:val="18"/>
          <w:color w:val="2F2F2E"/>
        </w:rPr>
        <w:t>Our gastrointestinal franchise was a clear standout this year. Dramamine</w:t>
      </w:r>
      <w:r>
        <w:rPr>
          <w:rFonts w:ascii="Arial" w:cs="Arial" w:eastAsia="Arial" w:hAnsi="Arial"/>
          <w:sz w:val="10"/>
          <w:szCs w:val="10"/>
          <w:color w:val="2F2F2E"/>
        </w:rPr>
        <w:t>®</w:t>
      </w:r>
      <w:r>
        <w:rPr>
          <w:rFonts w:ascii="Arial" w:cs="Arial" w:eastAsia="Arial" w:hAnsi="Arial"/>
          <w:sz w:val="18"/>
          <w:szCs w:val="18"/>
          <w:color w:val="2F2F2E"/>
        </w:rPr>
        <w:t>, Fleet</w:t>
      </w:r>
      <w:r>
        <w:rPr>
          <w:rFonts w:ascii="Arial" w:cs="Arial" w:eastAsia="Arial" w:hAnsi="Arial"/>
          <w:sz w:val="10"/>
          <w:szCs w:val="10"/>
          <w:color w:val="2F2F2E"/>
        </w:rPr>
        <w:t>®</w:t>
      </w:r>
      <w:r>
        <w:rPr>
          <w:rFonts w:ascii="Arial" w:cs="Arial" w:eastAsia="Arial" w:hAnsi="Arial"/>
          <w:sz w:val="18"/>
          <w:szCs w:val="18"/>
          <w:color w:val="2F2F2E"/>
        </w:rPr>
        <w:t>, and Hydralyte</w:t>
      </w:r>
      <w:r>
        <w:rPr>
          <w:rFonts w:ascii="Arial" w:cs="Arial" w:eastAsia="Arial" w:hAnsi="Arial"/>
          <w:sz w:val="10"/>
          <w:szCs w:val="10"/>
          <w:color w:val="2F2F2E"/>
        </w:rPr>
        <w:t>®</w:t>
      </w:r>
      <w:r>
        <w:rPr>
          <w:rFonts w:ascii="Arial" w:cs="Arial" w:eastAsia="Arial" w:hAnsi="Arial"/>
          <w:sz w:val="18"/>
          <w:szCs w:val="18"/>
          <w:color w:val="2F2F2E"/>
        </w:rPr>
        <w:t xml:space="preserve"> each delivered growth, reflecting the ongoing strength of our category-building investments. In Fleet</w:t>
      </w:r>
      <w:r>
        <w:rPr>
          <w:rFonts w:ascii="Arial" w:cs="Arial" w:eastAsia="Arial" w:hAnsi="Arial"/>
          <w:sz w:val="10"/>
          <w:szCs w:val="10"/>
          <w:color w:val="2F2F2E"/>
        </w:rPr>
        <w:t>®</w:t>
      </w:r>
      <w:r>
        <w:rPr>
          <w:rFonts w:ascii="Arial" w:cs="Arial" w:eastAsia="Arial" w:hAnsi="Arial"/>
          <w:sz w:val="18"/>
          <w:szCs w:val="18"/>
          <w:color w:val="2F2F2E"/>
        </w:rPr>
        <w:t>, we expanded our already sizable market share position, driven by proven marketing and targeted innovation, including the launch of Fleet</w:t>
      </w:r>
      <w:r>
        <w:rPr>
          <w:rFonts w:ascii="Arial" w:cs="Arial" w:eastAsia="Arial" w:hAnsi="Arial"/>
          <w:sz w:val="10"/>
          <w:szCs w:val="10"/>
          <w:color w:val="2F2F2E"/>
        </w:rPr>
        <w:t>®</w:t>
      </w:r>
      <w:r>
        <w:rPr>
          <w:rFonts w:ascii="Arial" w:cs="Arial" w:eastAsia="Arial" w:hAnsi="Arial"/>
          <w:sz w:val="18"/>
          <w:szCs w:val="18"/>
          <w:color w:val="2F2F2E"/>
        </w:rPr>
        <w:t xml:space="preserve"> Mini Enemas—a travel-friendly, fast-acting format designed to reach both new and existing laxative users.</w:t>
      </w:r>
    </w:p>
    <w:p>
      <w:pPr>
        <w:spacing w:after="0" w:line="1" w:lineRule="exact"/>
        <w:rPr>
          <w:sz w:val="20"/>
          <w:szCs w:val="20"/>
          <w:color w:val="auto"/>
        </w:rPr>
      </w:pPr>
    </w:p>
    <w:p>
      <w:pPr>
        <w:jc w:val="both"/>
        <w:ind w:right="1120"/>
        <w:spacing w:after="0" w:line="283" w:lineRule="auto"/>
        <w:rPr>
          <w:sz w:val="20"/>
          <w:szCs w:val="20"/>
          <w:color w:val="auto"/>
        </w:rPr>
      </w:pPr>
      <w:r>
        <w:rPr>
          <w:rFonts w:ascii="Arial" w:cs="Arial" w:eastAsia="Arial" w:hAnsi="Arial"/>
          <w:sz w:val="18"/>
          <w:szCs w:val="18"/>
          <w:color w:val="2F2F2E"/>
        </w:rPr>
        <w:t>Dramamine</w:t>
      </w:r>
      <w:r>
        <w:rPr>
          <w:rFonts w:ascii="Arial" w:cs="Arial" w:eastAsia="Arial" w:hAnsi="Arial"/>
          <w:sz w:val="10"/>
          <w:szCs w:val="10"/>
          <w:color w:val="2F2F2E"/>
        </w:rPr>
        <w:t>®</w:t>
      </w:r>
      <w:r>
        <w:rPr>
          <w:rFonts w:ascii="Arial" w:cs="Arial" w:eastAsia="Arial" w:hAnsi="Arial"/>
          <w:sz w:val="18"/>
          <w:szCs w:val="18"/>
          <w:color w:val="2F2F2E"/>
        </w:rPr>
        <w:t xml:space="preserve"> extended its reach by accelerating penetration into the nausea category, including pediatric nausea, and by engaging GLP-1 users seeking relief from side effects through marketing efforts. These tactics exemplify how we grow categories, not just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323215</wp:posOffset>
            </wp:positionV>
            <wp:extent cx="6407150" cy="2490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6407150" cy="2490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Our Dramamine</w:t>
      </w:r>
      <w:r>
        <w:rPr>
          <w:rFonts w:ascii="Arial" w:cs="Arial" w:eastAsia="Arial" w:hAnsi="Arial"/>
          <w:sz w:val="10"/>
          <w:szCs w:val="10"/>
          <w:color w:val="FFFFFF"/>
        </w:rPr>
        <w:t>®</w:t>
      </w:r>
      <w:r>
        <w:rPr>
          <w:rFonts w:ascii="Arial" w:cs="Arial" w:eastAsia="Arial" w:hAnsi="Arial"/>
          <w:sz w:val="18"/>
          <w:szCs w:val="18"/>
          <w:b w:val="1"/>
          <w:bCs w:val="1"/>
          <w:color w:val="FFFFFF"/>
        </w:rPr>
        <w:t xml:space="preserve"> and Fleet</w:t>
      </w:r>
      <w:r>
        <w:rPr>
          <w:rFonts w:ascii="Arial" w:cs="Arial" w:eastAsia="Arial" w:hAnsi="Arial"/>
          <w:sz w:val="10"/>
          <w:szCs w:val="10"/>
          <w:color w:val="FFFFFF"/>
        </w:rPr>
        <w:t>®</w:t>
      </w:r>
      <w:r>
        <w:rPr>
          <w:rFonts w:ascii="Arial" w:cs="Arial" w:eastAsia="Arial" w:hAnsi="Arial"/>
          <w:sz w:val="18"/>
          <w:szCs w:val="18"/>
          <w:b w:val="1"/>
          <w:bCs w:val="1"/>
          <w:color w:val="FFFFFF"/>
        </w:rPr>
        <w:t xml:space="preserve"> brands continue to deliver strong growth, most recently by</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showcasing engaging content that helps GLP-1 users seeking relief from side-effects.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right="1080"/>
        <w:spacing w:after="0" w:line="280" w:lineRule="auto"/>
        <w:rPr>
          <w:sz w:val="20"/>
          <w:szCs w:val="20"/>
          <w:color w:val="auto"/>
        </w:rPr>
      </w:pPr>
      <w:r>
        <w:rPr>
          <w:rFonts w:ascii="Arial" w:cs="Arial" w:eastAsia="Arial" w:hAnsi="Arial"/>
          <w:sz w:val="18"/>
          <w:szCs w:val="18"/>
          <w:color w:val="2F2F2E"/>
        </w:rPr>
        <w:t>In Women’s Health, Summer’s Eve</w:t>
      </w:r>
      <w:r>
        <w:rPr>
          <w:rFonts w:ascii="Arial" w:cs="Arial" w:eastAsia="Arial" w:hAnsi="Arial"/>
          <w:sz w:val="10"/>
          <w:szCs w:val="10"/>
          <w:color w:val="2F2F2E"/>
        </w:rPr>
        <w:t>®</w:t>
      </w:r>
      <w:r>
        <w:rPr>
          <w:rFonts w:ascii="Arial" w:cs="Arial" w:eastAsia="Arial" w:hAnsi="Arial"/>
          <w:sz w:val="18"/>
          <w:szCs w:val="18"/>
          <w:color w:val="2F2F2E"/>
        </w:rPr>
        <w:t xml:space="preserve"> achieved a year of stabilization and remains positioned for future growth. Monistat</w:t>
      </w:r>
      <w:r>
        <w:rPr>
          <w:rFonts w:ascii="Arial" w:cs="Arial" w:eastAsia="Arial" w:hAnsi="Arial"/>
          <w:sz w:val="10"/>
          <w:szCs w:val="10"/>
          <w:color w:val="2F2F2E"/>
        </w:rPr>
        <w:t>®</w:t>
      </w:r>
      <w:r>
        <w:rPr>
          <w:rFonts w:ascii="Arial" w:cs="Arial" w:eastAsia="Arial" w:hAnsi="Arial"/>
          <w:sz w:val="18"/>
          <w:szCs w:val="18"/>
          <w:color w:val="2F2F2E"/>
        </w:rPr>
        <w:t xml:space="preserve"> largely held share in the vaginal antifungal category—a notable result in an area that has experienced meaningful category-level headwinds over the past several years. In Dermatologicals, we launched Compound W</w:t>
      </w:r>
      <w:r>
        <w:rPr>
          <w:rFonts w:ascii="Arial" w:cs="Arial" w:eastAsia="Arial" w:hAnsi="Arial"/>
          <w:sz w:val="10"/>
          <w:szCs w:val="10"/>
          <w:color w:val="2F2F2E"/>
        </w:rPr>
        <w:t>®</w:t>
      </w:r>
      <w:r>
        <w:rPr>
          <w:rFonts w:ascii="Arial" w:cs="Arial" w:eastAsia="Arial" w:hAnsi="Arial"/>
          <w:sz w:val="18"/>
          <w:szCs w:val="18"/>
          <w:color w:val="2F2F2E"/>
        </w:rPr>
        <w:t xml:space="preserve"> Skin Tag Remover, leveraging our nitro freeze technology leadership into an adjacent niche and further demonstrating the expansive potential of our brand-building toolkit.</w:t>
      </w:r>
    </w:p>
    <w:p>
      <w:pPr>
        <w:spacing w:after="0" w:line="152" w:lineRule="exact"/>
        <w:rPr>
          <w:sz w:val="20"/>
          <w:szCs w:val="20"/>
          <w:color w:val="auto"/>
        </w:rPr>
      </w:pPr>
    </w:p>
    <w:p>
      <w:pPr>
        <w:ind w:left="20" w:right="1260"/>
        <w:spacing w:after="0" w:line="281" w:lineRule="auto"/>
        <w:rPr>
          <w:sz w:val="20"/>
          <w:szCs w:val="20"/>
          <w:color w:val="auto"/>
        </w:rPr>
      </w:pPr>
      <w:r>
        <w:rPr>
          <w:rFonts w:ascii="Arial" w:cs="Arial" w:eastAsia="Arial" w:hAnsi="Arial"/>
          <w:sz w:val="18"/>
          <w:szCs w:val="18"/>
          <w:color w:val="2F2F2E"/>
        </w:rPr>
        <w:t>Underlying these results is a structural advantage we have observed consistently over more than two decades in OTC healthcare: consumers treat trusted health brands as a necessity, not a discretionary purchase. Even as household budgets tightened and economic uncertainty persisted, our categories were among the last consumers looked to change—a hallmark attribute of our portfolio.</w:t>
      </w:r>
    </w:p>
    <w:p>
      <w:pPr>
        <w:spacing w:after="0" w:line="150" w:lineRule="exact"/>
        <w:rPr>
          <w:sz w:val="20"/>
          <w:szCs w:val="20"/>
          <w:color w:val="auto"/>
        </w:rPr>
      </w:pPr>
    </w:p>
    <w:p>
      <w:pPr>
        <w:ind w:left="20" w:right="1100"/>
        <w:spacing w:after="0" w:line="300" w:lineRule="auto"/>
        <w:rPr>
          <w:sz w:val="20"/>
          <w:szCs w:val="20"/>
          <w:color w:val="auto"/>
        </w:rPr>
      </w:pPr>
      <w:r>
        <w:rPr>
          <w:rFonts w:ascii="Arial" w:cs="Arial" w:eastAsia="Arial" w:hAnsi="Arial"/>
          <w:sz w:val="17"/>
          <w:szCs w:val="17"/>
          <w:color w:val="2F2F2E"/>
        </w:rPr>
        <w:t>Our e-commerce sales continued to outpace the Company average, delivering double-digit consumption growth and reaching approximately 18% of total revenue this year. This reflects years of deliberate investment in content, channel development, and digital marketing. We are also evolving how we reach consumers, adapting to behavioral shifts driven by artificial intelligence, social media, and other emerging influences, enhancing seasonal relevance and brand page effectiveness to sustain our competitive position across e-commerce partners.</w:t>
      </w:r>
    </w:p>
    <w:p>
      <w:pPr>
        <w:sectPr>
          <w:pgSz w:w="11880" w:h="15480" w:orient="portrait"/>
          <w:cols w:equalWidth="0" w:num="1">
            <w:col w:w="10080"/>
          </w:cols>
          <w:pgMar w:left="900" w:top="50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8200" w:val="left"/>
          <w:tab w:leader="none" w:pos="9900" w:val="left"/>
        </w:tabs>
        <w:rPr>
          <w:sz w:val="20"/>
          <w:szCs w:val="20"/>
          <w:color w:val="auto"/>
        </w:rPr>
      </w:pPr>
      <w:r>
        <w:rPr>
          <w:rFonts w:ascii="Arial" w:cs="Arial" w:eastAsia="Arial" w:hAnsi="Arial"/>
          <w:sz w:val="16"/>
          <w:szCs w:val="16"/>
          <w:b w:val="1"/>
          <w:bCs w:val="1"/>
          <w:color w:val="353E5E"/>
        </w:rPr>
        <w:t>Prestige Consumer Healthcare Inc.</w:t>
      </w:r>
      <w:r>
        <w:rPr>
          <w:sz w:val="20"/>
          <w:szCs w:val="20"/>
          <w:color w:val="auto"/>
        </w:rPr>
        <w:tab/>
      </w:r>
      <w:r>
        <w:rPr>
          <w:rFonts w:ascii="Arial" w:cs="Arial" w:eastAsia="Arial" w:hAnsi="Arial"/>
          <w:sz w:val="16"/>
          <w:szCs w:val="16"/>
          <w:color w:val="2F2F2E"/>
        </w:rPr>
        <w:t>2026 Annual Report</w:t>
      </w:r>
      <w:r>
        <w:rPr>
          <w:sz w:val="20"/>
          <w:szCs w:val="20"/>
          <w:color w:val="auto"/>
        </w:rPr>
        <w:tab/>
      </w:r>
      <w:r>
        <w:rPr>
          <w:rFonts w:ascii="Arial" w:cs="Arial" w:eastAsia="Arial" w:hAnsi="Arial"/>
          <w:sz w:val="16"/>
          <w:szCs w:val="16"/>
          <w:b w:val="1"/>
          <w:bCs w:val="1"/>
          <w:color w:val="353E5E"/>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6260465</wp:posOffset>
                </wp:positionH>
                <wp:positionV relativeFrom="paragraph">
                  <wp:posOffset>34925</wp:posOffset>
                </wp:positionV>
                <wp:extent cx="1397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700" cy="4763"/>
                        </a:xfrm>
                        <a:prstGeom prst="line">
                          <a:avLst/>
                        </a:prstGeom>
                        <a:solidFill>
                          <a:srgbClr val="FFFFFF"/>
                        </a:solidFill>
                        <a:ln w="12700">
                          <a:solidFill>
                            <a:srgbClr val="942D34"/>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2.95pt,2.75pt" to="503.95pt,2.75pt" o:allowincell="f" strokecolor="#942D34" strokeweight="1pt"/>
            </w:pict>
          </mc:Fallback>
        </mc:AlternateContent>
        <w:drawing>
          <wp:anchor simplePos="0" relativeHeight="251657728" behindDoc="1" locked="0" layoutInCell="0" allowOverlap="1">
            <wp:simplePos x="0" y="0"/>
            <wp:positionH relativeFrom="column">
              <wp:posOffset>-570865</wp:posOffset>
            </wp:positionH>
            <wp:positionV relativeFrom="paragraph">
              <wp:posOffset>258445</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6964045</wp:posOffset>
            </wp:positionH>
            <wp:positionV relativeFrom="paragraph">
              <wp:posOffset>258445</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10080"/>
          </w:cols>
          <w:pgMar w:left="900" w:top="500" w:right="900"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353E5E"/>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t>Letter to Our Shareholders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120"/>
        <w:spacing w:after="0" w:line="280" w:lineRule="auto"/>
        <w:rPr>
          <w:sz w:val="20"/>
          <w:szCs w:val="20"/>
          <w:color w:val="auto"/>
        </w:rPr>
      </w:pPr>
      <w:r>
        <w:rPr>
          <w:rFonts w:ascii="Arial" w:cs="Arial" w:eastAsia="Arial" w:hAnsi="Arial"/>
          <w:sz w:val="18"/>
          <w:szCs w:val="18"/>
          <w:color w:val="2F2F2E"/>
        </w:rPr>
        <w:t>In eye care, we acquired Pillar5 Pharma, our primary Clear Eyes</w:t>
      </w:r>
      <w:r>
        <w:rPr>
          <w:rFonts w:ascii="Arial" w:cs="Arial" w:eastAsia="Arial" w:hAnsi="Arial"/>
          <w:sz w:val="10"/>
          <w:szCs w:val="10"/>
          <w:color w:val="2F2F2E"/>
        </w:rPr>
        <w:t>®</w:t>
      </w:r>
      <w:r>
        <w:rPr>
          <w:rFonts w:ascii="Arial" w:cs="Arial" w:eastAsia="Arial" w:hAnsi="Arial"/>
          <w:sz w:val="18"/>
          <w:szCs w:val="18"/>
          <w:color w:val="2F2F2E"/>
        </w:rPr>
        <w:t xml:space="preserve"> manufacturer, in December to gain direct control over our supply chain. Early progress includes a new high-speed production line, facility upgrades, and capacity expansion initiatives. Our “quality product on time” standards guide operations, with nearly all eye care supply undergoing recent regulatory review. Industry-wide quality disruptions among private label manufacturers have strengthened retailer preference for trusted, quality-focused brands, creating significant long-term share opportunities for Clear Eyes as our supply normalizes. We are positioning ourselves to capitalize on these opportunities and return Clear Eyes to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6400800" cy="2635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extLst>
                    </a:blip>
                    <a:srcRect/>
                    <a:stretch>
                      <a:fillRect/>
                    </a:stretch>
                  </pic:blipFill>
                  <pic:spPr bwMode="auto">
                    <a:xfrm>
                      <a:off x="0" y="0"/>
                      <a:ext cx="6400800" cy="263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260"/>
        <w:spacing w:after="0" w:line="238" w:lineRule="auto"/>
        <w:rPr>
          <w:sz w:val="20"/>
          <w:szCs w:val="20"/>
          <w:color w:val="auto"/>
        </w:rPr>
      </w:pPr>
      <w:r>
        <w:rPr>
          <w:rFonts w:ascii="Arial" w:cs="Arial" w:eastAsia="Arial" w:hAnsi="Arial"/>
          <w:sz w:val="40"/>
          <w:szCs w:val="40"/>
          <w:b w:val="1"/>
          <w:bCs w:val="1"/>
          <w:color w:val="515150"/>
        </w:rPr>
        <w:t>Superior Business Attributes Drive Strong Free Cash Flow</w:t>
      </w:r>
    </w:p>
    <w:p>
      <w:pPr>
        <w:spacing w:after="0" w:line="131" w:lineRule="exact"/>
        <w:rPr>
          <w:sz w:val="20"/>
          <w:szCs w:val="20"/>
          <w:color w:val="auto"/>
        </w:rPr>
      </w:pPr>
    </w:p>
    <w:p>
      <w:pPr>
        <w:ind w:right="1260"/>
        <w:spacing w:after="0" w:line="280" w:lineRule="auto"/>
        <w:rPr>
          <w:sz w:val="20"/>
          <w:szCs w:val="20"/>
          <w:color w:val="auto"/>
        </w:rPr>
      </w:pPr>
      <w:r>
        <w:rPr>
          <w:rFonts w:ascii="Arial" w:cs="Arial" w:eastAsia="Arial" w:hAnsi="Arial"/>
          <w:sz w:val="18"/>
          <w:szCs w:val="18"/>
          <w:color w:val="2F2F2E"/>
        </w:rPr>
        <w:t>Our superior and sustainable free cash flow profile is the engine that drives everything we do. In fiscal 2026, we generated approximately $246 million in free cash flow, up slightly versus the prior year and in line with the outlook we provided at the start of the year. This result reflects the durability of our model: a high proportion of externally manufactured product, low capital expenditure requirements, and the consistent demand characteristics of the OTC healthcare categories we serve.</w:t>
      </w:r>
    </w:p>
    <w:p>
      <w:pPr>
        <w:spacing w:after="0" w:line="152" w:lineRule="exact"/>
        <w:rPr>
          <w:sz w:val="20"/>
          <w:szCs w:val="20"/>
          <w:color w:val="auto"/>
        </w:rPr>
      </w:pPr>
    </w:p>
    <w:p>
      <w:pPr>
        <w:ind w:right="1380"/>
        <w:spacing w:after="0" w:line="281" w:lineRule="auto"/>
        <w:rPr>
          <w:sz w:val="20"/>
          <w:szCs w:val="20"/>
          <w:color w:val="auto"/>
        </w:rPr>
      </w:pPr>
      <w:r>
        <w:rPr>
          <w:rFonts w:ascii="Arial" w:cs="Arial" w:eastAsia="Arial" w:hAnsi="Arial"/>
          <w:sz w:val="18"/>
          <w:szCs w:val="18"/>
          <w:color w:val="2F2F2E"/>
        </w:rPr>
        <w:t>Consumers rely on our products for their health, and the loyalty of our consumer base has proven remarkably consistent through tariff uncertainty, government disruption, inflation volatility, and geopolitical conflict alike. Together, these attributes consistently produce EBITDA margins in the low 30s and best-in-class free cash flow conversion.</w:t>
      </w:r>
    </w:p>
    <w:p>
      <w:pPr>
        <w:spacing w:after="0" w:line="150" w:lineRule="exact"/>
        <w:rPr>
          <w:sz w:val="20"/>
          <w:szCs w:val="20"/>
          <w:color w:val="auto"/>
        </w:rPr>
      </w:pPr>
    </w:p>
    <w:p>
      <w:pPr>
        <w:ind w:right="1180"/>
        <w:spacing w:after="0" w:line="280" w:lineRule="auto"/>
        <w:rPr>
          <w:sz w:val="20"/>
          <w:szCs w:val="20"/>
          <w:color w:val="auto"/>
        </w:rPr>
      </w:pPr>
      <w:r>
        <w:rPr>
          <w:rFonts w:ascii="Arial" w:cs="Arial" w:eastAsia="Arial" w:hAnsi="Arial"/>
          <w:sz w:val="18"/>
          <w:szCs w:val="18"/>
          <w:color w:val="2F2F2E"/>
        </w:rPr>
        <w:t>This free cash flow profile gives us the financial flexibility to invest behind our brands, pursue strategic acquisitions, and return capital to shareholders, all in the same year. During fiscal 2026, we deployed capital across these priorities, including over $150 million in share repurchases and approximately $110 million invested in acquiring Pillar5 to enhance our long-term eye care manufacturing capabilities. Looking ahead, we anticipate strong free cash flow once again in fiscal 2027, which will support our debt reduction prioritization following the acquisitions of Breathe Right</w:t>
      </w:r>
      <w:r>
        <w:rPr>
          <w:rFonts w:ascii="Arial" w:cs="Arial" w:eastAsia="Arial" w:hAnsi="Arial"/>
          <w:sz w:val="10"/>
          <w:szCs w:val="10"/>
          <w:color w:val="2F2F2E"/>
        </w:rPr>
        <w:t>®</w:t>
      </w:r>
      <w:r>
        <w:rPr>
          <w:rFonts w:ascii="Arial" w:cs="Arial" w:eastAsia="Arial" w:hAnsi="Arial"/>
          <w:sz w:val="18"/>
          <w:szCs w:val="18"/>
          <w:color w:val="2F2F2E"/>
        </w:rPr>
        <w:t xml:space="preserve"> and LaCorium Health.</w:t>
      </w:r>
    </w:p>
    <w:p>
      <w:pPr>
        <w:sectPr>
          <w:pgSz w:w="11880" w:h="15480" w:orient="portrait"/>
          <w:cols w:equalWidth="0" w:num="1">
            <w:col w:w="10080"/>
          </w:cols>
          <w:pgMar w:left="900" w:top="50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440" w:val="left"/>
          <w:tab w:leader="none" w:pos="7460" w:val="left"/>
        </w:tabs>
        <w:rPr>
          <w:sz w:val="20"/>
          <w:szCs w:val="20"/>
          <w:color w:val="auto"/>
        </w:rPr>
      </w:pPr>
      <w:r>
        <w:rPr>
          <w:rFonts w:ascii="Arial" w:cs="Arial" w:eastAsia="Arial" w:hAnsi="Arial"/>
          <w:sz w:val="16"/>
          <w:szCs w:val="16"/>
          <w:b w:val="1"/>
          <w:bCs w:val="1"/>
          <w:color w:val="353E5E"/>
        </w:rPr>
        <w:t>4</w:t>
      </w:r>
      <w:r>
        <w:rPr>
          <w:sz w:val="20"/>
          <w:szCs w:val="20"/>
          <w:color w:val="auto"/>
        </w:rPr>
        <w:tab/>
      </w:r>
      <w:r>
        <w:rPr>
          <w:rFonts w:ascii="Arial" w:cs="Arial" w:eastAsia="Arial" w:hAnsi="Arial"/>
          <w:sz w:val="16"/>
          <w:szCs w:val="16"/>
          <w:color w:val="2F2F2E"/>
        </w:rPr>
        <w:t>2026 Annual Report</w:t>
      </w:r>
      <w:r>
        <w:rPr>
          <w:sz w:val="20"/>
          <w:szCs w:val="20"/>
          <w:color w:val="auto"/>
        </w:rPr>
        <w:tab/>
      </w:r>
      <w:r>
        <w:rPr>
          <w:rFonts w:ascii="Arial" w:cs="Arial" w:eastAsia="Arial" w:hAnsi="Arial"/>
          <w:sz w:val="15"/>
          <w:szCs w:val="15"/>
          <w:b w:val="1"/>
          <w:bCs w:val="1"/>
          <w:color w:val="353E5E"/>
        </w:rPr>
        <w:t>Prestige Consumer Healthcare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34925</wp:posOffset>
                </wp:positionV>
                <wp:extent cx="13906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065" cy="4763"/>
                        </a:xfrm>
                        <a:prstGeom prst="line">
                          <a:avLst/>
                        </a:prstGeom>
                        <a:solidFill>
                          <a:srgbClr val="FFFFFF"/>
                        </a:solidFill>
                        <a:ln w="12700">
                          <a:solidFill>
                            <a:srgbClr val="942D34"/>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5pt" to="10.95pt,2.75pt" o:allowincell="f" strokecolor="#942D34" strokeweight="1pt"/>
            </w:pict>
          </mc:Fallback>
        </mc:AlternateContent>
        <w:drawing>
          <wp:anchor simplePos="0" relativeHeight="251657728" behindDoc="1" locked="0" layoutInCell="0" allowOverlap="1">
            <wp:simplePos x="0" y="0"/>
            <wp:positionH relativeFrom="column">
              <wp:posOffset>-570865</wp:posOffset>
            </wp:positionH>
            <wp:positionV relativeFrom="paragraph">
              <wp:posOffset>258445</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6964045</wp:posOffset>
            </wp:positionH>
            <wp:positionV relativeFrom="paragraph">
              <wp:posOffset>258445</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10080"/>
          </w:cols>
          <w:pgMar w:left="900" w:top="500" w:right="900" w:bottom="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353E5E"/>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t>Letter to Our Shareholders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right="2820"/>
        <w:spacing w:after="0" w:line="238" w:lineRule="auto"/>
        <w:rPr>
          <w:sz w:val="20"/>
          <w:szCs w:val="20"/>
          <w:color w:val="auto"/>
        </w:rPr>
      </w:pPr>
      <w:r>
        <w:rPr>
          <w:rFonts w:ascii="Arial" w:cs="Arial" w:eastAsia="Arial" w:hAnsi="Arial"/>
          <w:sz w:val="40"/>
          <w:szCs w:val="40"/>
          <w:b w:val="1"/>
          <w:bCs w:val="1"/>
          <w:color w:val="515150"/>
        </w:rPr>
        <w:t>Disciplined Capital Deployment Drives Future Growth</w:t>
      </w:r>
    </w:p>
    <w:p>
      <w:pPr>
        <w:spacing w:after="0" w:line="151" w:lineRule="exact"/>
        <w:rPr>
          <w:sz w:val="20"/>
          <w:szCs w:val="20"/>
          <w:color w:val="auto"/>
        </w:rPr>
      </w:pPr>
    </w:p>
    <w:p>
      <w:pPr>
        <w:ind w:left="20" w:right="1160"/>
        <w:spacing w:after="0" w:line="280" w:lineRule="auto"/>
        <w:rPr>
          <w:sz w:val="20"/>
          <w:szCs w:val="20"/>
          <w:color w:val="auto"/>
        </w:rPr>
      </w:pPr>
      <w:r>
        <w:rPr>
          <w:rFonts w:ascii="Arial" w:cs="Arial" w:eastAsia="Arial" w:hAnsi="Arial"/>
          <w:sz w:val="18"/>
          <w:szCs w:val="18"/>
          <w:color w:val="2F2F2E"/>
        </w:rPr>
        <w:t>Looking ahead, we are executing two acquisitions representing the largest capital deployment in the Company’s history. The Breathe Right</w:t>
      </w:r>
      <w:r>
        <w:rPr>
          <w:rFonts w:ascii="Arial" w:cs="Arial" w:eastAsia="Arial" w:hAnsi="Arial"/>
          <w:sz w:val="10"/>
          <w:szCs w:val="10"/>
          <w:color w:val="2F2F2E"/>
        </w:rPr>
        <w:t>®</w:t>
      </w:r>
      <w:r>
        <w:rPr>
          <w:rFonts w:ascii="Arial" w:cs="Arial" w:eastAsia="Arial" w:hAnsi="Arial"/>
          <w:sz w:val="18"/>
          <w:szCs w:val="18"/>
          <w:color w:val="2F2F2E"/>
        </w:rPr>
        <w:t xml:space="preserve"> portfolio is expected to generate approximately $200 million in revenue annually, anchored by the category-defining Breathe Right</w:t>
      </w:r>
      <w:r>
        <w:rPr>
          <w:rFonts w:ascii="Arial" w:cs="Arial" w:eastAsia="Arial" w:hAnsi="Arial"/>
          <w:sz w:val="10"/>
          <w:szCs w:val="10"/>
          <w:color w:val="2F2F2E"/>
        </w:rPr>
        <w:t>®</w:t>
      </w:r>
      <w:r>
        <w:rPr>
          <w:rFonts w:ascii="Arial" w:cs="Arial" w:eastAsia="Arial" w:hAnsi="Arial"/>
          <w:sz w:val="18"/>
          <w:szCs w:val="18"/>
          <w:color w:val="2F2F2E"/>
        </w:rPr>
        <w:t xml:space="preserve"> brand. Breathe Right</w:t>
      </w:r>
      <w:r>
        <w:rPr>
          <w:rFonts w:ascii="Arial" w:cs="Arial" w:eastAsia="Arial" w:hAnsi="Arial"/>
          <w:sz w:val="10"/>
          <w:szCs w:val="10"/>
          <w:color w:val="2F2F2E"/>
        </w:rPr>
        <w:t>®</w:t>
      </w:r>
      <w:r>
        <w:rPr>
          <w:rFonts w:ascii="Arial" w:cs="Arial" w:eastAsia="Arial" w:hAnsi="Arial"/>
          <w:sz w:val="18"/>
          <w:szCs w:val="18"/>
          <w:color w:val="2F2F2E"/>
        </w:rPr>
        <w:t xml:space="preserve"> is an iconic #1 brand synonymous with the nasal strip category and represents our entry into a new category. Its drug-free nasal strips serve multiple consumer “better breathing” needs.</w:t>
      </w:r>
    </w:p>
    <w:p>
      <w:pPr>
        <w:spacing w:after="0" w:line="152" w:lineRule="exact"/>
        <w:rPr>
          <w:sz w:val="20"/>
          <w:szCs w:val="20"/>
          <w:color w:val="auto"/>
        </w:rPr>
      </w:pPr>
    </w:p>
    <w:p>
      <w:pPr>
        <w:jc w:val="both"/>
        <w:ind w:left="20" w:right="1120"/>
        <w:spacing w:after="0" w:line="283" w:lineRule="auto"/>
        <w:rPr>
          <w:sz w:val="20"/>
          <w:szCs w:val="20"/>
          <w:color w:val="auto"/>
        </w:rPr>
      </w:pPr>
      <w:r>
        <w:rPr>
          <w:rFonts w:ascii="Arial" w:cs="Arial" w:eastAsia="Arial" w:hAnsi="Arial"/>
          <w:sz w:val="18"/>
          <w:szCs w:val="18"/>
          <w:color w:val="2F2F2E"/>
        </w:rPr>
        <w:t>The brand is widely distributed throughout the United States, where it holds the leading position in the category, and is sold internationally, primarily in Europe, with further growth opportunity. It will become the largest brand in our portfolio, and on an annualized basis, the transaction is expected to be accretive.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314325</wp:posOffset>
            </wp:positionV>
            <wp:extent cx="6407150" cy="3034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extLst>
                    </a:blip>
                    <a:srcRect/>
                    <a:stretch>
                      <a:fillRect/>
                    </a:stretch>
                  </pic:blipFill>
                  <pic:spPr bwMode="auto">
                    <a:xfrm>
                      <a:off x="0" y="0"/>
                      <a:ext cx="6407150" cy="303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The acquisition of Breathe Right</w:t>
      </w:r>
      <w:r>
        <w:rPr>
          <w:rFonts w:ascii="Arial" w:cs="Arial" w:eastAsia="Arial" w:hAnsi="Arial"/>
          <w:sz w:val="10"/>
          <w:szCs w:val="10"/>
          <w:color w:val="FFFFFF"/>
        </w:rPr>
        <w:t>®</w:t>
      </w:r>
      <w:r>
        <w:rPr>
          <w:rFonts w:ascii="Arial" w:cs="Arial" w:eastAsia="Arial" w:hAnsi="Arial"/>
          <w:sz w:val="18"/>
          <w:szCs w:val="18"/>
          <w:b w:val="1"/>
          <w:bCs w:val="1"/>
          <w:color w:val="FFFFFF"/>
        </w:rPr>
        <w:t xml:space="preserve"> will expand our portfolio into a new category of better</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breathing, expand our presence in Europe, and become the company’s largest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140"/>
        <w:spacing w:after="0" w:line="281" w:lineRule="auto"/>
        <w:rPr>
          <w:sz w:val="20"/>
          <w:szCs w:val="20"/>
          <w:color w:val="auto"/>
        </w:rPr>
      </w:pPr>
      <w:r>
        <w:rPr>
          <w:rFonts w:ascii="Arial" w:cs="Arial" w:eastAsia="Arial" w:hAnsi="Arial"/>
          <w:sz w:val="18"/>
          <w:szCs w:val="18"/>
          <w:color w:val="2F2F2E"/>
        </w:rPr>
        <w:t>LaCorium Health, an Australian therapeutic skincare business built around the fast-growing Dermal Therapy</w:t>
      </w:r>
      <w:r>
        <w:rPr>
          <w:rFonts w:ascii="Arial" w:cs="Arial" w:eastAsia="Arial" w:hAnsi="Arial"/>
          <w:sz w:val="10"/>
          <w:szCs w:val="10"/>
          <w:color w:val="2F2F2E"/>
        </w:rPr>
        <w:t>®</w:t>
      </w:r>
      <w:r>
        <w:rPr>
          <w:rFonts w:ascii="Arial" w:cs="Arial" w:eastAsia="Arial" w:hAnsi="Arial"/>
          <w:sz w:val="18"/>
          <w:szCs w:val="18"/>
          <w:color w:val="2F2F2E"/>
        </w:rPr>
        <w:t xml:space="preserve"> brand, brings approximately $40 million in expected annual revenue, proven double-digit revenue growth, and a strong fit with our Care Pharma infrastructure. Under Prestige, we will leverage our existing Australia distribution network to accelerate growth while integrating the business into our platform for cost synergies.</w:t>
      </w:r>
    </w:p>
    <w:p>
      <w:pPr>
        <w:spacing w:after="0" w:line="150" w:lineRule="exact"/>
        <w:rPr>
          <w:sz w:val="20"/>
          <w:szCs w:val="20"/>
          <w:color w:val="auto"/>
        </w:rPr>
      </w:pPr>
    </w:p>
    <w:p>
      <w:pPr>
        <w:ind w:right="1240"/>
        <w:spacing w:after="0" w:line="303" w:lineRule="auto"/>
        <w:rPr>
          <w:sz w:val="20"/>
          <w:szCs w:val="20"/>
          <w:color w:val="auto"/>
        </w:rPr>
      </w:pPr>
      <w:r>
        <w:rPr>
          <w:rFonts w:ascii="Arial" w:cs="Arial" w:eastAsia="Arial" w:hAnsi="Arial"/>
          <w:sz w:val="17"/>
          <w:szCs w:val="17"/>
          <w:color w:val="2F2F2E"/>
        </w:rPr>
        <w:t>These acquisitions accelerate our international footprint toward 20% of total revenues, add complementary growth brands, and, combined with our organic growth initiatives, position Prestige for sustained value creation. We are confident that our proven approach to capital deployment—balancing strategic growth investments with prudent debt management—will drive enhanced shareholder returns while strengthening our competitive position.</w:t>
      </w:r>
    </w:p>
    <w:p>
      <w:pPr>
        <w:sectPr>
          <w:pgSz w:w="11880" w:h="15480" w:orient="portrait"/>
          <w:cols w:equalWidth="0" w:num="1">
            <w:col w:w="10100"/>
          </w:cols>
          <w:pgMar w:left="880" w:top="50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8220" w:val="left"/>
          <w:tab w:leader="none" w:pos="9920" w:val="left"/>
        </w:tabs>
        <w:rPr>
          <w:sz w:val="20"/>
          <w:szCs w:val="20"/>
          <w:color w:val="auto"/>
        </w:rPr>
      </w:pPr>
      <w:r>
        <w:rPr>
          <w:rFonts w:ascii="Arial" w:cs="Arial" w:eastAsia="Arial" w:hAnsi="Arial"/>
          <w:sz w:val="16"/>
          <w:szCs w:val="16"/>
          <w:b w:val="1"/>
          <w:bCs w:val="1"/>
          <w:color w:val="353E5E"/>
        </w:rPr>
        <w:t>Prestige Consumer Healthcare Inc.</w:t>
      </w:r>
      <w:r>
        <w:rPr>
          <w:sz w:val="20"/>
          <w:szCs w:val="20"/>
          <w:color w:val="auto"/>
        </w:rPr>
        <w:tab/>
      </w:r>
      <w:r>
        <w:rPr>
          <w:rFonts w:ascii="Arial" w:cs="Arial" w:eastAsia="Arial" w:hAnsi="Arial"/>
          <w:sz w:val="16"/>
          <w:szCs w:val="16"/>
          <w:color w:val="2F2F2E"/>
        </w:rPr>
        <w:t>2026 Annual Report</w:t>
      </w:r>
      <w:r>
        <w:rPr>
          <w:sz w:val="20"/>
          <w:szCs w:val="20"/>
          <w:color w:val="auto"/>
        </w:rPr>
        <w:tab/>
      </w:r>
      <w:r>
        <w:rPr>
          <w:rFonts w:ascii="Arial" w:cs="Arial" w:eastAsia="Arial" w:hAnsi="Arial"/>
          <w:sz w:val="16"/>
          <w:szCs w:val="16"/>
          <w:b w:val="1"/>
          <w:bCs w:val="1"/>
          <w:color w:val="353E5E"/>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6273165</wp:posOffset>
                </wp:positionH>
                <wp:positionV relativeFrom="paragraph">
                  <wp:posOffset>34925</wp:posOffset>
                </wp:positionV>
                <wp:extent cx="1397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700" cy="4763"/>
                        </a:xfrm>
                        <a:prstGeom prst="line">
                          <a:avLst/>
                        </a:prstGeom>
                        <a:solidFill>
                          <a:srgbClr val="FFFFFF"/>
                        </a:solidFill>
                        <a:ln w="12700">
                          <a:solidFill>
                            <a:srgbClr val="942D34"/>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3.95pt,2.75pt" to="504.95pt,2.75pt" o:allowincell="f" strokecolor="#942D34" strokeweight="1pt"/>
            </w:pict>
          </mc:Fallback>
        </mc:AlternateContent>
        <w:drawing>
          <wp:anchor simplePos="0" relativeHeight="251657728" behindDoc="1" locked="0" layoutInCell="0" allowOverlap="1">
            <wp:simplePos x="0" y="0"/>
            <wp:positionH relativeFrom="column">
              <wp:posOffset>-558165</wp:posOffset>
            </wp:positionH>
            <wp:positionV relativeFrom="paragraph">
              <wp:posOffset>258445</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6976745</wp:posOffset>
            </wp:positionH>
            <wp:positionV relativeFrom="paragraph">
              <wp:posOffset>258445</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10100"/>
          </w:cols>
          <w:pgMar w:left="880" w:top="500" w:right="900" w:bottom="0" w:gutter="0" w:footer="0" w:header="0"/>
          <w:type w:val="continuous"/>
        </w:sectPr>
      </w:pPr>
    </w:p>
    <w:bookmarkStart w:id="9" w:name="page10"/>
    <w:bookmarkEnd w:id="9"/>
    <w:p>
      <w:pPr>
        <w:ind w:left="1"/>
        <w:spacing w:after="0"/>
        <w:rPr>
          <w:sz w:val="20"/>
          <w:szCs w:val="20"/>
          <w:color w:val="auto"/>
        </w:rPr>
      </w:pPr>
      <w:r>
        <w:rPr>
          <w:rFonts w:ascii="Arial" w:cs="Arial" w:eastAsia="Arial" w:hAnsi="Arial"/>
          <w:sz w:val="18"/>
          <w:szCs w:val="18"/>
          <w:b w:val="1"/>
          <w:bCs w:val="1"/>
          <w:color w:val="353E5E"/>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t>Letter to Our Shareholders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 w:right="2960"/>
        <w:spacing w:after="0" w:line="238" w:lineRule="auto"/>
        <w:rPr>
          <w:sz w:val="20"/>
          <w:szCs w:val="20"/>
          <w:color w:val="auto"/>
        </w:rPr>
      </w:pPr>
      <w:r>
        <w:rPr>
          <w:rFonts w:ascii="Arial" w:cs="Arial" w:eastAsia="Arial" w:hAnsi="Arial"/>
          <w:sz w:val="40"/>
          <w:szCs w:val="40"/>
          <w:b w:val="1"/>
          <w:bCs w:val="1"/>
          <w:color w:val="515150"/>
        </w:rPr>
        <w:t>A Track Record That Endures, A Future That Is Compelling</w:t>
      </w:r>
    </w:p>
    <w:p>
      <w:pPr>
        <w:spacing w:after="0" w:line="151" w:lineRule="exact"/>
        <w:rPr>
          <w:sz w:val="20"/>
          <w:szCs w:val="20"/>
          <w:color w:val="auto"/>
        </w:rPr>
      </w:pPr>
    </w:p>
    <w:p>
      <w:pPr>
        <w:ind w:left="1" w:right="1280"/>
        <w:spacing w:after="0" w:line="280" w:lineRule="auto"/>
        <w:rPr>
          <w:sz w:val="20"/>
          <w:szCs w:val="20"/>
          <w:color w:val="auto"/>
        </w:rPr>
      </w:pPr>
      <w:r>
        <w:rPr>
          <w:rFonts w:ascii="Arial" w:cs="Arial" w:eastAsia="Arial" w:hAnsi="Arial"/>
          <w:sz w:val="18"/>
          <w:szCs w:val="18"/>
          <w:color w:val="2F2F2E"/>
        </w:rPr>
        <w:t>It is worth stepping back from the near-term noise of fiscal 2026 to recognize what this business has built over time. Over the past two decades as a public company, disciplined portfolio management, focused consumer health M&amp;A, and consistent reinvestment in marketing and innovation have created a diversified platform generating over $1 billion in annual revenue, with trusted brands holding leading positions in categories that matter to consumers every day.</w:t>
      </w:r>
    </w:p>
    <w:p>
      <w:pPr>
        <w:spacing w:after="0" w:line="152" w:lineRule="exact"/>
        <w:rPr>
          <w:sz w:val="20"/>
          <w:szCs w:val="20"/>
          <w:color w:val="auto"/>
        </w:rPr>
      </w:pPr>
    </w:p>
    <w:p>
      <w:pPr>
        <w:ind w:left="1" w:right="1280"/>
        <w:spacing w:after="0" w:line="283" w:lineRule="auto"/>
        <w:rPr>
          <w:sz w:val="20"/>
          <w:szCs w:val="20"/>
          <w:color w:val="auto"/>
        </w:rPr>
      </w:pPr>
      <w:r>
        <w:rPr>
          <w:rFonts w:ascii="Arial" w:cs="Arial" w:eastAsia="Arial" w:hAnsi="Arial"/>
          <w:sz w:val="18"/>
          <w:szCs w:val="18"/>
          <w:color w:val="2F2F2E"/>
        </w:rPr>
        <w:t>The most recent five years provide a useful lens: approximately 3% revenue CAGR and 6% adjusted diluted EPS* CAGR, even including the challenges of fiscal 2026. This is the nature of what we have built—consistent, compounding value creation over time, through cycles and disruptions alike.</w:t>
      </w:r>
    </w:p>
    <w:p>
      <w:pPr>
        <w:spacing w:after="0" w:line="148" w:lineRule="exact"/>
        <w:rPr>
          <w:sz w:val="20"/>
          <w:szCs w:val="20"/>
          <w:color w:val="auto"/>
        </w:rPr>
      </w:pPr>
    </w:p>
    <w:p>
      <w:pPr>
        <w:ind w:left="1" w:right="1160"/>
        <w:spacing w:after="0" w:line="281" w:lineRule="auto"/>
        <w:rPr>
          <w:sz w:val="20"/>
          <w:szCs w:val="20"/>
          <w:color w:val="auto"/>
        </w:rPr>
      </w:pPr>
      <w:r>
        <w:rPr>
          <w:rFonts w:ascii="Arial" w:cs="Arial" w:eastAsia="Arial" w:hAnsi="Arial"/>
          <w:sz w:val="18"/>
          <w:szCs w:val="18"/>
          <w:color w:val="2F2F2E"/>
        </w:rPr>
        <w:t>Looking ahead, we see multiple catalysts supporting a compelling multi-year outlook. The Breathe Right</w:t>
      </w:r>
      <w:r>
        <w:rPr>
          <w:rFonts w:ascii="Arial" w:cs="Arial" w:eastAsia="Arial" w:hAnsi="Arial"/>
          <w:sz w:val="10"/>
          <w:szCs w:val="10"/>
          <w:color w:val="2F2F2E"/>
        </w:rPr>
        <w:t>®</w:t>
      </w:r>
      <w:r>
        <w:rPr>
          <w:rFonts w:ascii="Arial" w:cs="Arial" w:eastAsia="Arial" w:hAnsi="Arial"/>
          <w:sz w:val="18"/>
          <w:szCs w:val="18"/>
          <w:color w:val="2F2F2E"/>
        </w:rPr>
        <w:t xml:space="preserve"> and LaCorium acquisitions provide accretive growth and expanded international scale. Our eye care category represents meaningful upside, with capacity expanding as Pillar5 matures. And our broad, needs-based portfolio continues to demonstrate resilience.</w:t>
      </w:r>
    </w:p>
    <w:p>
      <w:pPr>
        <w:spacing w:after="0" w:line="151" w:lineRule="exact"/>
        <w:rPr>
          <w:sz w:val="20"/>
          <w:szCs w:val="20"/>
          <w:color w:val="auto"/>
        </w:rPr>
      </w:pPr>
    </w:p>
    <w:p>
      <w:pPr>
        <w:ind w:left="1" w:right="1320"/>
        <w:spacing w:after="0" w:line="281" w:lineRule="auto"/>
        <w:rPr>
          <w:sz w:val="20"/>
          <w:szCs w:val="20"/>
          <w:color w:val="auto"/>
        </w:rPr>
      </w:pPr>
      <w:r>
        <w:rPr>
          <w:rFonts w:ascii="Arial" w:cs="Arial" w:eastAsia="Arial" w:hAnsi="Arial"/>
          <w:sz w:val="18"/>
          <w:szCs w:val="18"/>
          <w:color w:val="2F2F2E"/>
        </w:rPr>
        <w:t>Collectively, based on our current assumptions, we see a path to approximately 10% revenue CAGR and 8%+ EPS CAGR through fiscal 2029, while maintaining industry-leading low-to-mid-30s EBITDA margins. We anticipate cumulative free cash flow* approaching $900 million over the next three years, enabling rapid debt reduction and restoring capacity for future capital deployment.</w:t>
      </w:r>
    </w:p>
    <w:p>
      <w:pPr>
        <w:spacing w:after="0" w:line="150" w:lineRule="exact"/>
        <w:rPr>
          <w:sz w:val="20"/>
          <w:szCs w:val="20"/>
          <w:color w:val="auto"/>
        </w:rPr>
      </w:pPr>
    </w:p>
    <w:p>
      <w:pPr>
        <w:ind w:left="1" w:right="1400"/>
        <w:spacing w:after="0" w:line="283" w:lineRule="auto"/>
        <w:rPr>
          <w:sz w:val="20"/>
          <w:szCs w:val="20"/>
          <w:color w:val="auto"/>
        </w:rPr>
      </w:pPr>
      <w:r>
        <w:rPr>
          <w:rFonts w:ascii="Arial" w:cs="Arial" w:eastAsia="Arial" w:hAnsi="Arial"/>
          <w:sz w:val="18"/>
          <w:szCs w:val="18"/>
          <w:color w:val="2F2F2E"/>
        </w:rPr>
        <w:t>The foundation of our confidence remains unchanged: trusted brands, a resilient consumer base, a durable financial model, and a management team with deep experience navigating volatility. Our guiding principles of Leadership, Trust, Change, and Execution continue to define how we operate.</w:t>
      </w:r>
    </w:p>
    <w:p>
      <w:pPr>
        <w:spacing w:after="0" w:line="148" w:lineRule="exact"/>
        <w:rPr>
          <w:sz w:val="20"/>
          <w:szCs w:val="20"/>
          <w:color w:val="auto"/>
        </w:rPr>
      </w:pPr>
    </w:p>
    <w:p>
      <w:pPr>
        <w:jc w:val="both"/>
        <w:ind w:left="1" w:right="1180"/>
        <w:spacing w:after="0" w:line="281" w:lineRule="auto"/>
        <w:rPr>
          <w:sz w:val="20"/>
          <w:szCs w:val="20"/>
          <w:color w:val="auto"/>
        </w:rPr>
      </w:pPr>
      <w:r>
        <w:rPr>
          <w:rFonts w:ascii="Arial" w:cs="Arial" w:eastAsia="Arial" w:hAnsi="Arial"/>
          <w:sz w:val="18"/>
          <w:szCs w:val="18"/>
          <w:color w:val="2F2F2E"/>
        </w:rPr>
        <w:t>On behalf of our management team and Board of Directors, I want to express my sincere appreciation for your continued confidence in Prestige. This has not been a simple year, and we do not take lightly the trust you place in our strategy and our team. We have built this business one deliberate decision at a time, always with a long-term perspective, and fiscal 2026 reflects that same approach.</w:t>
      </w:r>
    </w:p>
    <w:p>
      <w:pPr>
        <w:spacing w:after="0" w:line="150" w:lineRule="exact"/>
        <w:rPr>
          <w:sz w:val="20"/>
          <w:szCs w:val="20"/>
          <w:color w:val="auto"/>
        </w:rPr>
      </w:pPr>
    </w:p>
    <w:p>
      <w:pPr>
        <w:ind w:left="1" w:right="1260"/>
        <w:spacing w:after="0" w:line="283" w:lineRule="auto"/>
        <w:rPr>
          <w:sz w:val="20"/>
          <w:szCs w:val="20"/>
          <w:color w:val="auto"/>
        </w:rPr>
      </w:pPr>
      <w:r>
        <w:rPr>
          <w:rFonts w:ascii="Arial" w:cs="Arial" w:eastAsia="Arial" w:hAnsi="Arial"/>
          <w:sz w:val="18"/>
          <w:szCs w:val="18"/>
          <w:color w:val="2F2F2E"/>
        </w:rPr>
        <w:t>We look forward to integration of our acquisitions, building momentum in our organic business, and providing updates to all of our stakeholders throughout the year. The opportunity ahead is clear, and I am confident in our ability to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722630</wp:posOffset>
            </wp:positionV>
            <wp:extent cx="1692275" cy="357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extLst>
                    </a:blip>
                    <a:srcRect/>
                    <a:stretch>
                      <a:fillRect/>
                    </a:stretch>
                  </pic:blipFill>
                  <pic:spPr bwMode="auto">
                    <a:xfrm>
                      <a:off x="0" y="0"/>
                      <a:ext cx="1692275" cy="35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942D34"/>
        </w:rPr>
        <w:t>Ron Lombardi</w:t>
      </w:r>
    </w:p>
    <w:p>
      <w:pPr>
        <w:spacing w:after="0" w:line="30" w:lineRule="exact"/>
        <w:rPr>
          <w:sz w:val="20"/>
          <w:szCs w:val="20"/>
          <w:color w:val="auto"/>
        </w:rPr>
      </w:pPr>
    </w:p>
    <w:p>
      <w:pPr>
        <w:ind w:left="1"/>
        <w:spacing w:after="0"/>
        <w:rPr>
          <w:sz w:val="20"/>
          <w:szCs w:val="20"/>
          <w:color w:val="auto"/>
        </w:rPr>
      </w:pPr>
      <w:r>
        <w:rPr>
          <w:rFonts w:ascii="Arial" w:cs="Arial" w:eastAsia="Arial" w:hAnsi="Arial"/>
          <w:sz w:val="18"/>
          <w:szCs w:val="18"/>
          <w:color w:val="2F2F2E"/>
        </w:rPr>
        <w:t>Chair,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1" w:right="20" w:hanging="201"/>
        <w:spacing w:after="0" w:line="262" w:lineRule="auto"/>
        <w:tabs>
          <w:tab w:leader="none" w:pos="199" w:val="left"/>
        </w:tabs>
        <w:numPr>
          <w:ilvl w:val="0"/>
          <w:numId w:val="6"/>
        </w:numPr>
        <w:rPr>
          <w:rFonts w:ascii="Arial" w:cs="Arial" w:eastAsia="Arial" w:hAnsi="Arial"/>
          <w:sz w:val="16"/>
          <w:szCs w:val="16"/>
          <w:color w:val="2F2F2E"/>
        </w:rPr>
      </w:pPr>
      <w:r>
        <w:rPr>
          <w:rFonts w:ascii="Arial" w:cs="Arial" w:eastAsia="Arial" w:hAnsi="Arial"/>
          <w:sz w:val="16"/>
          <w:szCs w:val="16"/>
          <w:color w:val="2F2F2E"/>
        </w:rPr>
        <w:t>Adjusted Diluted EPS and Free Cash Flow are Non-GAAP financial measures and are reconciled to their most closely related GAAP financial measures in our earnings release dated May 13, 2026 in the “About Non-GAAP Financial Measures” section.</w:t>
      </w:r>
    </w:p>
    <w:p>
      <w:pPr>
        <w:sectPr>
          <w:pgSz w:w="11880" w:h="15480" w:orient="portrait"/>
          <w:cols w:equalWidth="0" w:num="1">
            <w:col w:w="10081"/>
          </w:cols>
          <w:pgMar w:left="899" w:top="500" w:right="900" w:bottom="0" w:gutter="0" w:footer="0" w:header="0"/>
        </w:sectPr>
      </w:pPr>
    </w:p>
    <w:p>
      <w:pPr>
        <w:spacing w:after="0" w:line="200" w:lineRule="exact"/>
        <w:rPr>
          <w:sz w:val="20"/>
          <w:szCs w:val="20"/>
          <w:color w:val="auto"/>
        </w:rPr>
      </w:pPr>
    </w:p>
    <w:p>
      <w:pPr>
        <w:spacing w:after="0" w:line="220" w:lineRule="exact"/>
        <w:rPr>
          <w:sz w:val="20"/>
          <w:szCs w:val="20"/>
          <w:color w:val="auto"/>
        </w:rPr>
      </w:pPr>
    </w:p>
    <w:p>
      <w:pPr>
        <w:ind w:left="61"/>
        <w:spacing w:after="0"/>
        <w:tabs>
          <w:tab w:leader="none" w:pos="441" w:val="left"/>
          <w:tab w:leader="none" w:pos="7461" w:val="left"/>
        </w:tabs>
        <w:rPr>
          <w:sz w:val="20"/>
          <w:szCs w:val="20"/>
          <w:color w:val="auto"/>
        </w:rPr>
      </w:pPr>
      <w:r>
        <w:rPr>
          <w:rFonts w:ascii="Arial" w:cs="Arial" w:eastAsia="Arial" w:hAnsi="Arial"/>
          <w:sz w:val="16"/>
          <w:szCs w:val="16"/>
          <w:b w:val="1"/>
          <w:bCs w:val="1"/>
          <w:color w:val="353E5E"/>
        </w:rPr>
        <w:t>6</w:t>
      </w:r>
      <w:r>
        <w:rPr>
          <w:sz w:val="20"/>
          <w:szCs w:val="20"/>
          <w:color w:val="auto"/>
        </w:rPr>
        <w:tab/>
      </w:r>
      <w:r>
        <w:rPr>
          <w:rFonts w:ascii="Arial" w:cs="Arial" w:eastAsia="Arial" w:hAnsi="Arial"/>
          <w:sz w:val="16"/>
          <w:szCs w:val="16"/>
          <w:color w:val="2F2F2E"/>
        </w:rPr>
        <w:t>2026 Annual Report</w:t>
      </w:r>
      <w:r>
        <w:rPr>
          <w:sz w:val="20"/>
          <w:szCs w:val="20"/>
          <w:color w:val="auto"/>
        </w:rPr>
        <w:tab/>
      </w:r>
      <w:r>
        <w:rPr>
          <w:rFonts w:ascii="Arial" w:cs="Arial" w:eastAsia="Arial" w:hAnsi="Arial"/>
          <w:sz w:val="15"/>
          <w:szCs w:val="15"/>
          <w:b w:val="1"/>
          <w:bCs w:val="1"/>
          <w:color w:val="353E5E"/>
        </w:rPr>
        <w:t>Prestige Consumer Healthcare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34925</wp:posOffset>
                </wp:positionV>
                <wp:extent cx="1397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700" cy="4763"/>
                        </a:xfrm>
                        <a:prstGeom prst="line">
                          <a:avLst/>
                        </a:prstGeom>
                        <a:solidFill>
                          <a:srgbClr val="FFFFFF"/>
                        </a:solidFill>
                        <a:ln w="12700">
                          <a:solidFill>
                            <a:srgbClr val="942D34"/>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5pt" to="11pt,2.75pt" o:allowincell="f" strokecolor="#942D34" strokeweight="1pt"/>
            </w:pict>
          </mc:Fallback>
        </mc:AlternateContent>
        <w:drawing>
          <wp:anchor simplePos="0" relativeHeight="251657728" behindDoc="1" locked="0" layoutInCell="0" allowOverlap="1">
            <wp:simplePos x="0" y="0"/>
            <wp:positionH relativeFrom="column">
              <wp:posOffset>-570230</wp:posOffset>
            </wp:positionH>
            <wp:positionV relativeFrom="paragraph">
              <wp:posOffset>258445</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258445</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10081"/>
          </w:cols>
          <w:pgMar w:left="899" w:top="500" w:right="900" w:bottom="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353E5E"/>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t>Letter to Our Shareholders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515150"/>
        </w:rPr>
        <w:t>Corporate Responsibility</w:t>
      </w:r>
    </w:p>
    <w:p>
      <w:pPr>
        <w:spacing w:after="0" w:line="163" w:lineRule="exact"/>
        <w:rPr>
          <w:sz w:val="20"/>
          <w:szCs w:val="20"/>
          <w:color w:val="auto"/>
        </w:rPr>
      </w:pPr>
    </w:p>
    <w:p>
      <w:pPr>
        <w:spacing w:after="0" w:line="280" w:lineRule="auto"/>
        <w:rPr>
          <w:sz w:val="20"/>
          <w:szCs w:val="20"/>
          <w:color w:val="auto"/>
        </w:rPr>
      </w:pPr>
      <w:r>
        <w:rPr>
          <w:rFonts w:ascii="Arial" w:cs="Arial" w:eastAsia="Arial" w:hAnsi="Arial"/>
          <w:sz w:val="18"/>
          <w:szCs w:val="18"/>
          <w:color w:val="2F2F2E"/>
        </w:rPr>
        <w:t>Prestige Consumer Healthcare’s Board of Directors, management and employees all recognize the responsibility that comes with selling trusted consumer healthcare brands, and the importance of integrating corporate responsibility into our operations and culture for the benefit of future generations. We are committed to building environmental sustainability, social responsibility, and effective corporate governance into all aspects of our business. We view this as sound business strategy that drives resiliency and long-term value creation for the benefit of all stakeholders, including our consumers, customers, employees, investors, suppliers, regulators and the communities in which we live and operate.</w:t>
      </w:r>
    </w:p>
    <w:p>
      <w:pPr>
        <w:spacing w:after="0" w:line="151"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2F2F2E"/>
        </w:rPr>
        <w:t xml:space="preserve">Our 2025 sustainability report is available on our website, </w:t>
      </w:r>
      <w:r>
        <w:rPr>
          <w:rFonts w:ascii="Arial" w:cs="Arial" w:eastAsia="Arial" w:hAnsi="Arial"/>
          <w:sz w:val="18"/>
          <w:szCs w:val="18"/>
          <w:u w:val="single" w:color="auto"/>
          <w:color w:val="942D34"/>
        </w:rPr>
        <w:t>https://www.prestigebrands.com/about-us/corporate-responsibility</w:t>
      </w:r>
      <w:r>
        <w:rPr>
          <w:rFonts w:ascii="Arial" w:cs="Arial" w:eastAsia="Arial" w:hAnsi="Arial"/>
          <w:sz w:val="18"/>
          <w:szCs w:val="18"/>
          <w:color w:val="2F2F2E"/>
        </w:rPr>
        <w:t>. Our approach to Corporate Responsibility is based on credible frameworks and standards that create a foundation for identifying material topics, understanding our risks and opportunities, and informing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190500</wp:posOffset>
            </wp:positionV>
            <wp:extent cx="3118485" cy="4062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6">
                      <a:extLst>
                        <a:ext uri="{28A0092B-C50C-407E-A947-70E740481C1C}"/>
                      </a:extLst>
                    </a:blip>
                    <a:srcRect/>
                    <a:stretch>
                      <a:fillRect/>
                    </a:stretch>
                  </pic:blipFill>
                  <pic:spPr bwMode="auto">
                    <a:xfrm>
                      <a:off x="0" y="0"/>
                      <a:ext cx="3118485" cy="4062730"/>
                    </a:xfrm>
                    <a:prstGeom prst="rect">
                      <a:avLst/>
                    </a:prstGeom>
                    <a:noFill/>
                  </pic:spPr>
                </pic:pic>
              </a:graphicData>
            </a:graphic>
          </wp:anchor>
        </w:drawing>
      </w:r>
    </w:p>
    <w:p>
      <w:pPr>
        <w:spacing w:after="0" w:line="298"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353E5E"/>
        </w:rPr>
        <w:t>Our People</w:t>
      </w:r>
    </w:p>
    <w:p>
      <w:pPr>
        <w:spacing w:after="0" w:line="105" w:lineRule="exact"/>
        <w:rPr>
          <w:sz w:val="20"/>
          <w:szCs w:val="20"/>
          <w:color w:val="auto"/>
        </w:rPr>
      </w:pPr>
    </w:p>
    <w:p>
      <w:pPr>
        <w:ind w:left="5220" w:right="320"/>
        <w:spacing w:after="0" w:line="280" w:lineRule="auto"/>
        <w:rPr>
          <w:sz w:val="20"/>
          <w:szCs w:val="20"/>
          <w:color w:val="auto"/>
        </w:rPr>
      </w:pPr>
      <w:r>
        <w:rPr>
          <w:rFonts w:ascii="Arial" w:cs="Arial" w:eastAsia="Arial" w:hAnsi="Arial"/>
          <w:sz w:val="18"/>
          <w:szCs w:val="18"/>
          <w:color w:val="2F2F2E"/>
        </w:rPr>
        <w:t>Our people are critical to our Company’s success. We trust them every day to maintain safety and performance excellence, uphold integrity in manufacturing and marketing, and adhere to our Company’s four guiding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353E5E"/>
        </w:rPr>
        <w:t>Our Community &amp; Consumers</w:t>
      </w:r>
    </w:p>
    <w:p>
      <w:pPr>
        <w:spacing w:after="0" w:line="105" w:lineRule="exact"/>
        <w:rPr>
          <w:sz w:val="20"/>
          <w:szCs w:val="20"/>
          <w:color w:val="auto"/>
        </w:rPr>
      </w:pPr>
    </w:p>
    <w:p>
      <w:pPr>
        <w:ind w:left="5220" w:right="780"/>
        <w:spacing w:after="0" w:line="283" w:lineRule="auto"/>
        <w:rPr>
          <w:sz w:val="20"/>
          <w:szCs w:val="20"/>
          <w:color w:val="auto"/>
        </w:rPr>
      </w:pPr>
      <w:r>
        <w:rPr>
          <w:rFonts w:ascii="Arial" w:cs="Arial" w:eastAsia="Arial" w:hAnsi="Arial"/>
          <w:sz w:val="18"/>
          <w:szCs w:val="18"/>
          <w:color w:val="2F2F2E"/>
        </w:rPr>
        <w:t>Prestige’s commitment to responsible corporate citizenship extends beyond our employees and into the lives of our communities and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353E5E"/>
        </w:rPr>
        <w:t>Our Planet &amp; Partners</w:t>
      </w:r>
    </w:p>
    <w:p>
      <w:pPr>
        <w:spacing w:after="0" w:line="105" w:lineRule="exact"/>
        <w:rPr>
          <w:sz w:val="20"/>
          <w:szCs w:val="20"/>
          <w:color w:val="auto"/>
        </w:rPr>
      </w:pPr>
    </w:p>
    <w:p>
      <w:pPr>
        <w:ind w:left="5220" w:right="320"/>
        <w:spacing w:after="0" w:line="283" w:lineRule="auto"/>
        <w:rPr>
          <w:sz w:val="20"/>
          <w:szCs w:val="20"/>
          <w:color w:val="auto"/>
        </w:rPr>
      </w:pPr>
      <w:r>
        <w:rPr>
          <w:rFonts w:ascii="Arial" w:cs="Arial" w:eastAsia="Arial" w:hAnsi="Arial"/>
          <w:sz w:val="18"/>
          <w:szCs w:val="18"/>
          <w:color w:val="2F2F2E"/>
        </w:rPr>
        <w:t>In line with our goal to continuously innovate and provide quality products to our consumers, we aim to assess, reduce, and report on our environmental impacts.</w:t>
      </w:r>
    </w:p>
    <w:p>
      <w:pPr>
        <w:sectPr>
          <w:pgSz w:w="11880" w:h="15480" w:orient="portrait"/>
          <w:cols w:equalWidth="0" w:num="1">
            <w:col w:w="10080"/>
          </w:cols>
          <w:pgMar w:left="900" w:top="50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8200" w:val="left"/>
          <w:tab w:leader="none" w:pos="9900" w:val="left"/>
        </w:tabs>
        <w:rPr>
          <w:sz w:val="20"/>
          <w:szCs w:val="20"/>
          <w:color w:val="auto"/>
        </w:rPr>
      </w:pPr>
      <w:r>
        <w:rPr>
          <w:rFonts w:ascii="Arial" w:cs="Arial" w:eastAsia="Arial" w:hAnsi="Arial"/>
          <w:sz w:val="16"/>
          <w:szCs w:val="16"/>
          <w:b w:val="1"/>
          <w:bCs w:val="1"/>
          <w:color w:val="353E5E"/>
        </w:rPr>
        <w:t>Prestige Consumer Healthcare Inc.</w:t>
      </w:r>
      <w:r>
        <w:rPr>
          <w:sz w:val="20"/>
          <w:szCs w:val="20"/>
          <w:color w:val="auto"/>
        </w:rPr>
        <w:tab/>
      </w:r>
      <w:r>
        <w:rPr>
          <w:rFonts w:ascii="Arial" w:cs="Arial" w:eastAsia="Arial" w:hAnsi="Arial"/>
          <w:sz w:val="16"/>
          <w:szCs w:val="16"/>
          <w:color w:val="2F2F2E"/>
        </w:rPr>
        <w:t>2026 Annual Report</w:t>
      </w:r>
      <w:r>
        <w:rPr>
          <w:sz w:val="20"/>
          <w:szCs w:val="20"/>
          <w:color w:val="auto"/>
        </w:rPr>
        <w:tab/>
      </w:r>
      <w:r>
        <w:rPr>
          <w:rFonts w:ascii="Arial" w:cs="Arial" w:eastAsia="Arial" w:hAnsi="Arial"/>
          <w:sz w:val="16"/>
          <w:szCs w:val="16"/>
          <w:b w:val="1"/>
          <w:bCs w:val="1"/>
          <w:color w:val="353E5E"/>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6260465</wp:posOffset>
                </wp:positionH>
                <wp:positionV relativeFrom="paragraph">
                  <wp:posOffset>34925</wp:posOffset>
                </wp:positionV>
                <wp:extent cx="1397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700" cy="4763"/>
                        </a:xfrm>
                        <a:prstGeom prst="line">
                          <a:avLst/>
                        </a:prstGeom>
                        <a:solidFill>
                          <a:srgbClr val="FFFFFF"/>
                        </a:solidFill>
                        <a:ln w="12700">
                          <a:solidFill>
                            <a:srgbClr val="942D34"/>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2.95pt,2.75pt" to="503.95pt,2.75pt" o:allowincell="f" strokecolor="#942D34" strokeweight="1pt"/>
            </w:pict>
          </mc:Fallback>
        </mc:AlternateContent>
        <w:drawing>
          <wp:anchor simplePos="0" relativeHeight="251657728" behindDoc="1" locked="0" layoutInCell="0" allowOverlap="1">
            <wp:simplePos x="0" y="0"/>
            <wp:positionH relativeFrom="column">
              <wp:posOffset>-570865</wp:posOffset>
            </wp:positionH>
            <wp:positionV relativeFrom="paragraph">
              <wp:posOffset>258445</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6964045</wp:posOffset>
            </wp:positionH>
            <wp:positionV relativeFrom="paragraph">
              <wp:posOffset>258445</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10080"/>
          </w:cols>
          <w:pgMar w:left="900" w:top="500" w:right="900" w:bottom="0" w:gutter="0" w:footer="0" w:header="0"/>
          <w:type w:val="continuous"/>
        </w:sectPr>
      </w:pPr>
    </w:p>
    <w:bookmarkStart w:id="11" w:name="page12"/>
    <w:bookmarkEnd w:id="11"/>
    <w:p>
      <w:pPr>
        <w:spacing w:after="0"/>
        <w:rPr>
          <w:sz w:val="20"/>
          <w:szCs w:val="20"/>
          <w:color w:val="auto"/>
        </w:rPr>
      </w:pPr>
      <w:r>
        <w:rPr>
          <w:rFonts w:ascii="Arial" w:cs="Arial" w:eastAsia="Arial" w:hAnsi="Arial"/>
          <w:sz w:val="58"/>
          <w:szCs w:val="58"/>
          <w:color w:val="353E5E"/>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t>CORPORATE</w:t>
      </w:r>
    </w:p>
    <w:p>
      <w:pPr>
        <w:spacing w:after="0"/>
        <w:rPr>
          <w:sz w:val="20"/>
          <w:szCs w:val="20"/>
          <w:color w:val="auto"/>
        </w:rPr>
      </w:pPr>
      <w:r>
        <w:rPr>
          <w:rFonts w:ascii="Arial" w:cs="Arial" w:eastAsia="Arial" w:hAnsi="Arial"/>
          <w:sz w:val="58"/>
          <w:szCs w:val="58"/>
          <w:b w:val="1"/>
          <w:bCs w:val="1"/>
          <w:color w:val="353E5E"/>
        </w:rPr>
        <w:t>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92075</wp:posOffset>
                </wp:positionV>
                <wp:extent cx="40576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765" cy="4763"/>
                        </a:xfrm>
                        <a:prstGeom prst="line">
                          <a:avLst/>
                        </a:prstGeom>
                        <a:solidFill>
                          <a:srgbClr val="FFFFFF"/>
                        </a:solidFill>
                        <a:ln w="63500">
                          <a:solidFill>
                            <a:srgbClr val="942D34"/>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25pt" to="31.95pt,7.25pt" o:allowincell="f" strokecolor="#942D34" strokeweight="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353E5E"/>
        </w:rPr>
        <w:t>DIRECTORS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20"/>
                <w:szCs w:val="20"/>
                <w:color w:val="auto"/>
              </w:rPr>
            </w:pPr>
            <w:r>
              <w:rPr>
                <w:rFonts w:ascii="Arial" w:cs="Arial" w:eastAsia="Arial" w:hAnsi="Arial"/>
                <w:sz w:val="18"/>
                <w:szCs w:val="18"/>
                <w:b w:val="1"/>
                <w:bCs w:val="1"/>
                <w:color w:val="942D34"/>
              </w:rPr>
              <w:t>Ronald M. Lombardi</w:t>
            </w:r>
          </w:p>
        </w:tc>
        <w:tc>
          <w:tcPr>
            <w:tcW w:w="4420" w:type="dxa"/>
            <w:vAlign w:val="bottom"/>
          </w:tcPr>
          <w:p>
            <w:pPr>
              <w:ind w:left="880"/>
              <w:spacing w:after="0"/>
              <w:rPr>
                <w:sz w:val="20"/>
                <w:szCs w:val="20"/>
                <w:color w:val="auto"/>
              </w:rPr>
            </w:pPr>
            <w:r>
              <w:rPr>
                <w:rFonts w:ascii="Arial" w:cs="Arial" w:eastAsia="Arial" w:hAnsi="Arial"/>
                <w:sz w:val="18"/>
                <w:szCs w:val="18"/>
                <w:b w:val="1"/>
                <w:bCs w:val="1"/>
                <w:color w:val="942D34"/>
              </w:rPr>
              <w:t>Sheila A. Hopkins</w:t>
            </w:r>
          </w:p>
        </w:tc>
        <w:tc>
          <w:tcPr>
            <w:tcW w:w="0" w:type="dxa"/>
            <w:vAlign w:val="bottom"/>
          </w:tcPr>
          <w:p>
            <w:pPr>
              <w:spacing w:after="0"/>
              <w:rPr>
                <w:sz w:val="1"/>
                <w:szCs w:val="1"/>
                <w:color w:val="auto"/>
              </w:rPr>
            </w:pPr>
          </w:p>
        </w:tc>
      </w:tr>
      <w:tr>
        <w:trPr>
          <w:trHeight w:val="240"/>
        </w:trPr>
        <w:tc>
          <w:tcPr>
            <w:tcW w:w="4340" w:type="dxa"/>
            <w:vAlign w:val="bottom"/>
          </w:tcPr>
          <w:p>
            <w:pPr>
              <w:spacing w:after="0"/>
              <w:rPr>
                <w:sz w:val="20"/>
                <w:szCs w:val="20"/>
                <w:color w:val="auto"/>
              </w:rPr>
            </w:pPr>
            <w:r>
              <w:rPr>
                <w:rFonts w:ascii="Arial" w:cs="Arial" w:eastAsia="Arial" w:hAnsi="Arial"/>
                <w:sz w:val="18"/>
                <w:szCs w:val="18"/>
                <w:color w:val="2F2F2E"/>
              </w:rPr>
              <w:t>Chair, President and Chief Executive Officer</w:t>
            </w:r>
          </w:p>
        </w:tc>
        <w:tc>
          <w:tcPr>
            <w:tcW w:w="4420" w:type="dxa"/>
            <w:vAlign w:val="bottom"/>
          </w:tcPr>
          <w:p>
            <w:pPr>
              <w:ind w:left="880"/>
              <w:spacing w:after="0"/>
              <w:rPr>
                <w:sz w:val="20"/>
                <w:szCs w:val="20"/>
                <w:color w:val="auto"/>
              </w:rPr>
            </w:pPr>
            <w:r>
              <w:rPr>
                <w:rFonts w:ascii="Arial" w:cs="Arial" w:eastAsia="Arial" w:hAnsi="Arial"/>
                <w:sz w:val="18"/>
                <w:szCs w:val="18"/>
                <w:color w:val="2F2F2E"/>
                <w:w w:val="99"/>
              </w:rPr>
              <w:t>President, Global Vision Care and Executive</w:t>
            </w:r>
          </w:p>
        </w:tc>
        <w:tc>
          <w:tcPr>
            <w:tcW w:w="0" w:type="dxa"/>
            <w:vAlign w:val="bottom"/>
          </w:tcPr>
          <w:p>
            <w:pPr>
              <w:spacing w:after="0"/>
              <w:rPr>
                <w:sz w:val="1"/>
                <w:szCs w:val="1"/>
                <w:color w:val="auto"/>
              </w:rPr>
            </w:pPr>
          </w:p>
        </w:tc>
      </w:tr>
      <w:tr>
        <w:trPr>
          <w:trHeight w:val="240"/>
        </w:trPr>
        <w:tc>
          <w:tcPr>
            <w:tcW w:w="4340" w:type="dxa"/>
            <w:vAlign w:val="bottom"/>
          </w:tcPr>
          <w:p>
            <w:pPr>
              <w:spacing w:after="0"/>
              <w:rPr>
                <w:sz w:val="20"/>
                <w:szCs w:val="20"/>
                <w:color w:val="auto"/>
              </w:rPr>
            </w:pPr>
            <w:r>
              <w:rPr>
                <w:rFonts w:ascii="Arial" w:cs="Arial" w:eastAsia="Arial" w:hAnsi="Arial"/>
                <w:sz w:val="18"/>
                <w:szCs w:val="18"/>
                <w:color w:val="2F2F2E"/>
              </w:rPr>
              <w:t>Prestige Consumer Healthcare Inc.</w:t>
            </w:r>
          </w:p>
        </w:tc>
        <w:tc>
          <w:tcPr>
            <w:tcW w:w="4420" w:type="dxa"/>
            <w:vAlign w:val="bottom"/>
          </w:tcPr>
          <w:p>
            <w:pPr>
              <w:ind w:left="880"/>
              <w:spacing w:after="0"/>
              <w:rPr>
                <w:sz w:val="20"/>
                <w:szCs w:val="20"/>
                <w:color w:val="auto"/>
              </w:rPr>
            </w:pPr>
            <w:r>
              <w:rPr>
                <w:rFonts w:ascii="Arial" w:cs="Arial" w:eastAsia="Arial" w:hAnsi="Arial"/>
                <w:sz w:val="18"/>
                <w:szCs w:val="18"/>
                <w:color w:val="2F2F2E"/>
              </w:rPr>
              <w:t>Vice President of Bausch + Lomb (Retired)</w:t>
            </w:r>
          </w:p>
        </w:tc>
        <w:tc>
          <w:tcPr>
            <w:tcW w:w="0" w:type="dxa"/>
            <w:vAlign w:val="bottom"/>
          </w:tcPr>
          <w:p>
            <w:pPr>
              <w:spacing w:after="0"/>
              <w:rPr>
                <w:sz w:val="1"/>
                <w:szCs w:val="1"/>
                <w:color w:val="auto"/>
              </w:rPr>
            </w:pPr>
          </w:p>
        </w:tc>
      </w:tr>
      <w:tr>
        <w:trPr>
          <w:trHeight w:val="400"/>
        </w:trPr>
        <w:tc>
          <w:tcPr>
            <w:tcW w:w="4340" w:type="dxa"/>
            <w:vAlign w:val="bottom"/>
          </w:tcPr>
          <w:p>
            <w:pPr>
              <w:spacing w:after="0"/>
              <w:rPr>
                <w:sz w:val="20"/>
                <w:szCs w:val="20"/>
                <w:color w:val="auto"/>
              </w:rPr>
            </w:pPr>
            <w:r>
              <w:rPr>
                <w:rFonts w:ascii="Arial" w:cs="Arial" w:eastAsia="Arial" w:hAnsi="Arial"/>
                <w:sz w:val="18"/>
                <w:szCs w:val="18"/>
                <w:b w:val="1"/>
                <w:bCs w:val="1"/>
                <w:color w:val="942D34"/>
              </w:rPr>
              <w:t>John E. Byom</w:t>
            </w:r>
          </w:p>
        </w:tc>
        <w:tc>
          <w:tcPr>
            <w:tcW w:w="4420" w:type="dxa"/>
            <w:vAlign w:val="bottom"/>
          </w:tcPr>
          <w:p>
            <w:pPr>
              <w:ind w:left="880"/>
              <w:spacing w:after="0"/>
              <w:rPr>
                <w:sz w:val="20"/>
                <w:szCs w:val="20"/>
                <w:color w:val="auto"/>
              </w:rPr>
            </w:pPr>
            <w:r>
              <w:rPr>
                <w:rFonts w:ascii="Arial" w:cs="Arial" w:eastAsia="Arial" w:hAnsi="Arial"/>
                <w:sz w:val="18"/>
                <w:szCs w:val="18"/>
                <w:b w:val="1"/>
                <w:bCs w:val="1"/>
                <w:color w:val="942D34"/>
              </w:rPr>
              <w:t>John F. Kelly</w:t>
            </w:r>
          </w:p>
        </w:tc>
        <w:tc>
          <w:tcPr>
            <w:tcW w:w="0" w:type="dxa"/>
            <w:vAlign w:val="bottom"/>
          </w:tcPr>
          <w:p>
            <w:pPr>
              <w:spacing w:after="0"/>
              <w:rPr>
                <w:sz w:val="1"/>
                <w:szCs w:val="1"/>
                <w:color w:val="auto"/>
              </w:rPr>
            </w:pPr>
          </w:p>
        </w:tc>
      </w:tr>
      <w:tr>
        <w:trPr>
          <w:trHeight w:val="240"/>
        </w:trPr>
        <w:tc>
          <w:tcPr>
            <w:tcW w:w="4340" w:type="dxa"/>
            <w:vAlign w:val="bottom"/>
          </w:tcPr>
          <w:p>
            <w:pPr>
              <w:spacing w:after="0"/>
              <w:rPr>
                <w:sz w:val="20"/>
                <w:szCs w:val="20"/>
                <w:color w:val="auto"/>
              </w:rPr>
            </w:pPr>
            <w:r>
              <w:rPr>
                <w:rFonts w:ascii="Arial" w:cs="Arial" w:eastAsia="Arial" w:hAnsi="Arial"/>
                <w:sz w:val="18"/>
                <w:szCs w:val="18"/>
                <w:color w:val="2F2F2E"/>
              </w:rPr>
              <w:t>Chief Executive Officer</w:t>
            </w:r>
          </w:p>
        </w:tc>
        <w:tc>
          <w:tcPr>
            <w:tcW w:w="4420" w:type="dxa"/>
            <w:vAlign w:val="bottom"/>
          </w:tcPr>
          <w:p>
            <w:pPr>
              <w:ind w:left="880"/>
              <w:spacing w:after="0"/>
              <w:rPr>
                <w:sz w:val="20"/>
                <w:szCs w:val="20"/>
                <w:color w:val="auto"/>
              </w:rPr>
            </w:pPr>
            <w:r>
              <w:rPr>
                <w:rFonts w:ascii="Arial" w:cs="Arial" w:eastAsia="Arial" w:hAnsi="Arial"/>
                <w:sz w:val="18"/>
                <w:szCs w:val="18"/>
                <w:color w:val="2F2F2E"/>
              </w:rPr>
              <w:t>Vice President, Quality Operations and</w:t>
            </w:r>
          </w:p>
        </w:tc>
        <w:tc>
          <w:tcPr>
            <w:tcW w:w="0" w:type="dxa"/>
            <w:vAlign w:val="bottom"/>
          </w:tcPr>
          <w:p>
            <w:pPr>
              <w:spacing w:after="0"/>
              <w:rPr>
                <w:sz w:val="1"/>
                <w:szCs w:val="1"/>
                <w:color w:val="auto"/>
              </w:rPr>
            </w:pPr>
          </w:p>
        </w:tc>
      </w:tr>
      <w:tr>
        <w:trPr>
          <w:trHeight w:val="240"/>
        </w:trPr>
        <w:tc>
          <w:tcPr>
            <w:tcW w:w="4340" w:type="dxa"/>
            <w:vAlign w:val="bottom"/>
          </w:tcPr>
          <w:p>
            <w:pPr>
              <w:spacing w:after="0"/>
              <w:rPr>
                <w:sz w:val="20"/>
                <w:szCs w:val="20"/>
                <w:color w:val="auto"/>
              </w:rPr>
            </w:pPr>
            <w:r>
              <w:rPr>
                <w:rFonts w:ascii="Arial" w:cs="Arial" w:eastAsia="Arial" w:hAnsi="Arial"/>
                <w:sz w:val="18"/>
                <w:szCs w:val="18"/>
                <w:color w:val="2F2F2E"/>
              </w:rPr>
              <w:t>Classic Provisions, Inc. (Retired)</w:t>
            </w:r>
          </w:p>
        </w:tc>
        <w:tc>
          <w:tcPr>
            <w:tcW w:w="4420" w:type="dxa"/>
            <w:vAlign w:val="bottom"/>
          </w:tcPr>
          <w:p>
            <w:pPr>
              <w:ind w:left="880"/>
              <w:spacing w:after="0"/>
              <w:rPr>
                <w:sz w:val="20"/>
                <w:szCs w:val="20"/>
                <w:color w:val="auto"/>
              </w:rPr>
            </w:pPr>
            <w:r>
              <w:rPr>
                <w:rFonts w:ascii="Arial" w:cs="Arial" w:eastAsia="Arial" w:hAnsi="Arial"/>
                <w:sz w:val="18"/>
                <w:szCs w:val="18"/>
                <w:color w:val="2F2F2E"/>
              </w:rPr>
              <w:t>Environment, Health &amp; Safety</w:t>
            </w:r>
          </w:p>
        </w:tc>
        <w:tc>
          <w:tcPr>
            <w:tcW w:w="0" w:type="dxa"/>
            <w:vAlign w:val="bottom"/>
          </w:tcPr>
          <w:p>
            <w:pPr>
              <w:spacing w:after="0"/>
              <w:rPr>
                <w:sz w:val="1"/>
                <w:szCs w:val="1"/>
                <w:color w:val="auto"/>
              </w:rPr>
            </w:pPr>
          </w:p>
        </w:tc>
      </w:tr>
      <w:tr>
        <w:trPr>
          <w:trHeight w:val="239"/>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942D34"/>
              </w:rPr>
              <w:t>Celeste A. Clark, Ph.D.</w:t>
            </w:r>
          </w:p>
        </w:tc>
        <w:tc>
          <w:tcPr>
            <w:tcW w:w="4420" w:type="dxa"/>
            <w:vAlign w:val="bottom"/>
          </w:tcPr>
          <w:p>
            <w:pPr>
              <w:ind w:left="880"/>
              <w:spacing w:after="0"/>
              <w:rPr>
                <w:sz w:val="20"/>
                <w:szCs w:val="20"/>
                <w:color w:val="auto"/>
              </w:rPr>
            </w:pPr>
            <w:r>
              <w:rPr>
                <w:rFonts w:ascii="Arial" w:cs="Arial" w:eastAsia="Arial" w:hAnsi="Arial"/>
                <w:sz w:val="18"/>
                <w:szCs w:val="18"/>
                <w:color w:val="2F2F2E"/>
              </w:rPr>
              <w:t>Pfizer Inc. (Retired)</w:t>
            </w:r>
          </w:p>
        </w:tc>
        <w:tc>
          <w:tcPr>
            <w:tcW w:w="0" w:type="dxa"/>
            <w:vAlign w:val="bottom"/>
          </w:tcPr>
          <w:p>
            <w:pPr>
              <w:spacing w:after="0"/>
              <w:rPr>
                <w:sz w:val="1"/>
                <w:szCs w:val="1"/>
                <w:color w:val="auto"/>
              </w:rPr>
            </w:pPr>
          </w:p>
        </w:tc>
      </w:tr>
      <w:tr>
        <w:trPr>
          <w:trHeight w:val="161"/>
        </w:trPr>
        <w:tc>
          <w:tcPr>
            <w:tcW w:w="4340" w:type="dxa"/>
            <w:vAlign w:val="bottom"/>
            <w:vMerge w:val="continue"/>
          </w:tcPr>
          <w:p>
            <w:pPr>
              <w:spacing w:after="0"/>
              <w:rPr>
                <w:sz w:val="13"/>
                <w:szCs w:val="13"/>
                <w:color w:val="auto"/>
              </w:rPr>
            </w:pPr>
          </w:p>
        </w:tc>
        <w:tc>
          <w:tcPr>
            <w:tcW w:w="4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340" w:type="dxa"/>
            <w:vAlign w:val="bottom"/>
          </w:tcPr>
          <w:p>
            <w:pPr>
              <w:spacing w:after="0"/>
              <w:rPr>
                <w:sz w:val="20"/>
                <w:szCs w:val="20"/>
                <w:color w:val="auto"/>
              </w:rPr>
            </w:pPr>
            <w:r>
              <w:rPr>
                <w:rFonts w:ascii="Arial" w:cs="Arial" w:eastAsia="Arial" w:hAnsi="Arial"/>
                <w:sz w:val="18"/>
                <w:szCs w:val="18"/>
                <w:color w:val="2F2F2E"/>
              </w:rPr>
              <w:t>Senior Vice President</w:t>
            </w:r>
          </w:p>
        </w:tc>
        <w:tc>
          <w:tcPr>
            <w:tcW w:w="4420" w:type="dxa"/>
            <w:vAlign w:val="bottom"/>
          </w:tcPr>
          <w:p>
            <w:pPr>
              <w:ind w:left="880"/>
              <w:spacing w:after="0"/>
              <w:rPr>
                <w:sz w:val="20"/>
                <w:szCs w:val="20"/>
                <w:color w:val="auto"/>
              </w:rPr>
            </w:pPr>
            <w:r>
              <w:rPr>
                <w:rFonts w:ascii="Arial" w:cs="Arial" w:eastAsia="Arial" w:hAnsi="Arial"/>
                <w:sz w:val="18"/>
                <w:szCs w:val="18"/>
                <w:b w:val="1"/>
                <w:bCs w:val="1"/>
                <w:color w:val="942D34"/>
              </w:rPr>
              <w:t>Dawn M. Zier</w:t>
            </w:r>
          </w:p>
        </w:tc>
        <w:tc>
          <w:tcPr>
            <w:tcW w:w="0" w:type="dxa"/>
            <w:vAlign w:val="bottom"/>
          </w:tcPr>
          <w:p>
            <w:pPr>
              <w:spacing w:after="0"/>
              <w:rPr>
                <w:sz w:val="1"/>
                <w:szCs w:val="1"/>
                <w:color w:val="auto"/>
              </w:rPr>
            </w:pPr>
          </w:p>
        </w:tc>
      </w:tr>
      <w:tr>
        <w:trPr>
          <w:trHeight w:val="240"/>
        </w:trPr>
        <w:tc>
          <w:tcPr>
            <w:tcW w:w="4340" w:type="dxa"/>
            <w:vAlign w:val="bottom"/>
          </w:tcPr>
          <w:p>
            <w:pPr>
              <w:spacing w:after="0"/>
              <w:rPr>
                <w:sz w:val="20"/>
                <w:szCs w:val="20"/>
                <w:color w:val="auto"/>
              </w:rPr>
            </w:pPr>
            <w:r>
              <w:rPr>
                <w:rFonts w:ascii="Arial" w:cs="Arial" w:eastAsia="Arial" w:hAnsi="Arial"/>
                <w:sz w:val="18"/>
                <w:szCs w:val="18"/>
                <w:color w:val="2F2F2E"/>
              </w:rPr>
              <w:t>Kellogg Company (Retired)</w:t>
            </w:r>
          </w:p>
        </w:tc>
        <w:tc>
          <w:tcPr>
            <w:tcW w:w="4420" w:type="dxa"/>
            <w:vAlign w:val="bottom"/>
          </w:tcPr>
          <w:p>
            <w:pPr>
              <w:ind w:left="880"/>
              <w:spacing w:after="0"/>
              <w:rPr>
                <w:sz w:val="20"/>
                <w:szCs w:val="20"/>
                <w:color w:val="auto"/>
              </w:rPr>
            </w:pPr>
            <w:r>
              <w:rPr>
                <w:rFonts w:ascii="Arial" w:cs="Arial" w:eastAsia="Arial" w:hAnsi="Arial"/>
                <w:sz w:val="18"/>
                <w:szCs w:val="18"/>
                <w:color w:val="2F2F2E"/>
                <w:w w:val="97"/>
              </w:rPr>
              <w:t>Board Chair of The Hain Celestial Group, Inc.</w:t>
            </w:r>
          </w:p>
        </w:tc>
        <w:tc>
          <w:tcPr>
            <w:tcW w:w="0" w:type="dxa"/>
            <w:vAlign w:val="bottom"/>
          </w:tcPr>
          <w:p>
            <w:pPr>
              <w:spacing w:after="0"/>
              <w:rPr>
                <w:sz w:val="1"/>
                <w:szCs w:val="1"/>
                <w:color w:val="auto"/>
              </w:rPr>
            </w:pPr>
          </w:p>
        </w:tc>
      </w:tr>
      <w:tr>
        <w:trPr>
          <w:trHeight w:val="239"/>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942D34"/>
              </w:rPr>
              <w:t>James C. D’Arecca</w:t>
            </w:r>
          </w:p>
        </w:tc>
        <w:tc>
          <w:tcPr>
            <w:tcW w:w="4420" w:type="dxa"/>
            <w:vAlign w:val="bottom"/>
          </w:tcPr>
          <w:p>
            <w:pPr>
              <w:ind w:left="880"/>
              <w:spacing w:after="0"/>
              <w:rPr>
                <w:sz w:val="20"/>
                <w:szCs w:val="20"/>
                <w:color w:val="auto"/>
              </w:rPr>
            </w:pPr>
            <w:r>
              <w:rPr>
                <w:rFonts w:ascii="Arial" w:cs="Arial" w:eastAsia="Arial" w:hAnsi="Arial"/>
                <w:sz w:val="18"/>
                <w:szCs w:val="18"/>
                <w:color w:val="2F2F2E"/>
              </w:rPr>
              <w:t>President and Chief Operating Officer</w:t>
            </w:r>
          </w:p>
        </w:tc>
        <w:tc>
          <w:tcPr>
            <w:tcW w:w="0" w:type="dxa"/>
            <w:vAlign w:val="bottom"/>
          </w:tcPr>
          <w:p>
            <w:pPr>
              <w:spacing w:after="0"/>
              <w:rPr>
                <w:sz w:val="1"/>
                <w:szCs w:val="1"/>
                <w:color w:val="auto"/>
              </w:rPr>
            </w:pPr>
          </w:p>
        </w:tc>
      </w:tr>
      <w:tr>
        <w:trPr>
          <w:trHeight w:val="161"/>
        </w:trPr>
        <w:tc>
          <w:tcPr>
            <w:tcW w:w="4340" w:type="dxa"/>
            <w:vAlign w:val="bottom"/>
            <w:vMerge w:val="continue"/>
          </w:tcPr>
          <w:p>
            <w:pPr>
              <w:spacing w:after="0"/>
              <w:rPr>
                <w:sz w:val="13"/>
                <w:szCs w:val="13"/>
                <w:color w:val="auto"/>
              </w:rPr>
            </w:pPr>
          </w:p>
        </w:tc>
        <w:tc>
          <w:tcPr>
            <w:tcW w:w="4420" w:type="dxa"/>
            <w:vAlign w:val="bottom"/>
            <w:vMerge w:val="restart"/>
          </w:tcPr>
          <w:p>
            <w:pPr>
              <w:ind w:left="880"/>
              <w:spacing w:after="0"/>
              <w:rPr>
                <w:sz w:val="20"/>
                <w:szCs w:val="20"/>
                <w:color w:val="auto"/>
              </w:rPr>
            </w:pPr>
            <w:r>
              <w:rPr>
                <w:rFonts w:ascii="Arial" w:cs="Arial" w:eastAsia="Arial" w:hAnsi="Arial"/>
                <w:sz w:val="18"/>
                <w:szCs w:val="18"/>
                <w:color w:val="2F2F2E"/>
              </w:rPr>
              <w:t>Tivity Health, Inc. (Retired)</w:t>
            </w:r>
          </w:p>
        </w:tc>
        <w:tc>
          <w:tcPr>
            <w:tcW w:w="0" w:type="dxa"/>
            <w:vAlign w:val="bottom"/>
          </w:tcPr>
          <w:p>
            <w:pPr>
              <w:spacing w:after="0"/>
              <w:rPr>
                <w:sz w:val="1"/>
                <w:szCs w:val="1"/>
                <w:color w:val="auto"/>
              </w:rPr>
            </w:pPr>
          </w:p>
        </w:tc>
      </w:tr>
      <w:tr>
        <w:trPr>
          <w:trHeight w:val="79"/>
        </w:trPr>
        <w:tc>
          <w:tcPr>
            <w:tcW w:w="4340" w:type="dxa"/>
            <w:vAlign w:val="bottom"/>
            <w:vMerge w:val="restart"/>
          </w:tcPr>
          <w:p>
            <w:pPr>
              <w:spacing w:after="0"/>
              <w:rPr>
                <w:sz w:val="20"/>
                <w:szCs w:val="20"/>
                <w:color w:val="auto"/>
              </w:rPr>
            </w:pPr>
            <w:r>
              <w:rPr>
                <w:rFonts w:ascii="Arial" w:cs="Arial" w:eastAsia="Arial" w:hAnsi="Arial"/>
                <w:sz w:val="18"/>
                <w:szCs w:val="18"/>
                <w:color w:val="2F2F2E"/>
              </w:rPr>
              <w:t>Executive Vice President, CFO</w:t>
            </w:r>
          </w:p>
        </w:tc>
        <w:tc>
          <w:tcPr>
            <w:tcW w:w="4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4340" w:type="dxa"/>
            <w:vAlign w:val="bottom"/>
            <w:vMerge w:val="continue"/>
          </w:tcPr>
          <w:p>
            <w:pPr>
              <w:spacing w:after="0"/>
              <w:rPr>
                <w:sz w:val="13"/>
                <w:szCs w:val="13"/>
                <w:color w:val="auto"/>
              </w:rPr>
            </w:pPr>
          </w:p>
        </w:tc>
        <w:tc>
          <w:tcPr>
            <w:tcW w:w="4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340" w:type="dxa"/>
            <w:vAlign w:val="bottom"/>
          </w:tcPr>
          <w:p>
            <w:pPr>
              <w:spacing w:after="0"/>
              <w:rPr>
                <w:sz w:val="20"/>
                <w:szCs w:val="20"/>
                <w:color w:val="auto"/>
              </w:rPr>
            </w:pPr>
            <w:r>
              <w:rPr>
                <w:rFonts w:ascii="Arial" w:cs="Arial" w:eastAsia="Arial" w:hAnsi="Arial"/>
                <w:sz w:val="18"/>
                <w:szCs w:val="18"/>
                <w:color w:val="2F2F2E"/>
              </w:rPr>
              <w:t>Haemonetics Corporation</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571500</wp:posOffset>
                </wp:positionV>
                <wp:extent cx="640016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6350">
                          <a:solidFill>
                            <a:srgbClr val="353E5E"/>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pt" to="503.95pt,45pt" o:allowincell="f" strokecolor="#353E5E"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353E5E"/>
        </w:rPr>
        <w:t>EXECUTIVES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20"/>
                <w:szCs w:val="20"/>
                <w:color w:val="auto"/>
              </w:rPr>
            </w:pPr>
            <w:r>
              <w:rPr>
                <w:rFonts w:ascii="Arial" w:cs="Arial" w:eastAsia="Arial" w:hAnsi="Arial"/>
                <w:sz w:val="18"/>
                <w:szCs w:val="18"/>
                <w:b w:val="1"/>
                <w:bCs w:val="1"/>
                <w:color w:val="942D34"/>
              </w:rPr>
              <w:t>Ronald M. Lombardi</w:t>
            </w:r>
          </w:p>
        </w:tc>
        <w:tc>
          <w:tcPr>
            <w:tcW w:w="4380" w:type="dxa"/>
            <w:vAlign w:val="bottom"/>
          </w:tcPr>
          <w:p>
            <w:pPr>
              <w:ind w:left="620"/>
              <w:spacing w:after="0"/>
              <w:rPr>
                <w:sz w:val="20"/>
                <w:szCs w:val="20"/>
                <w:color w:val="auto"/>
              </w:rPr>
            </w:pPr>
            <w:r>
              <w:rPr>
                <w:rFonts w:ascii="Arial" w:cs="Arial" w:eastAsia="Arial" w:hAnsi="Arial"/>
                <w:sz w:val="18"/>
                <w:szCs w:val="18"/>
                <w:b w:val="1"/>
                <w:bCs w:val="1"/>
                <w:color w:val="942D34"/>
              </w:rPr>
              <w:t>Adel Mekhail</w:t>
            </w: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r>
              <w:rPr>
                <w:rFonts w:ascii="Arial" w:cs="Arial" w:eastAsia="Arial" w:hAnsi="Arial"/>
                <w:sz w:val="18"/>
                <w:szCs w:val="18"/>
                <w:color w:val="2F2F2E"/>
              </w:rPr>
              <w:t>Chair, President and Chief Executive Officer</w:t>
            </w:r>
          </w:p>
        </w:tc>
        <w:tc>
          <w:tcPr>
            <w:tcW w:w="4380" w:type="dxa"/>
            <w:vAlign w:val="bottom"/>
          </w:tcPr>
          <w:p>
            <w:pPr>
              <w:ind w:left="620"/>
              <w:spacing w:after="0"/>
              <w:rPr>
                <w:sz w:val="20"/>
                <w:szCs w:val="20"/>
                <w:color w:val="auto"/>
              </w:rPr>
            </w:pPr>
            <w:r>
              <w:rPr>
                <w:rFonts w:ascii="Arial" w:cs="Arial" w:eastAsia="Arial" w:hAnsi="Arial"/>
                <w:sz w:val="18"/>
                <w:szCs w:val="18"/>
                <w:color w:val="2F2F2E"/>
                <w:w w:val="98"/>
              </w:rPr>
              <w:t>Executive Vice President—Sales and Marketing</w:t>
            </w: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r>
              <w:rPr>
                <w:rFonts w:ascii="Arial" w:cs="Arial" w:eastAsia="Arial" w:hAnsi="Arial"/>
                <w:sz w:val="18"/>
                <w:szCs w:val="18"/>
                <w:color w:val="2F2F2E"/>
              </w:rPr>
              <w:t>Prestige Consumer Healthcare Inc.</w:t>
            </w:r>
          </w:p>
        </w:tc>
        <w:tc>
          <w:tcPr>
            <w:tcW w:w="4380" w:type="dxa"/>
            <w:vAlign w:val="bottom"/>
            <w:vMerge w:val="restart"/>
          </w:tcPr>
          <w:p>
            <w:pPr>
              <w:ind w:left="620"/>
              <w:spacing w:after="0"/>
              <w:rPr>
                <w:sz w:val="20"/>
                <w:szCs w:val="20"/>
                <w:color w:val="auto"/>
              </w:rPr>
            </w:pPr>
            <w:r>
              <w:rPr>
                <w:rFonts w:ascii="Arial" w:cs="Arial" w:eastAsia="Arial" w:hAnsi="Arial"/>
                <w:sz w:val="18"/>
                <w:szCs w:val="18"/>
                <w:b w:val="1"/>
                <w:bCs w:val="1"/>
                <w:color w:val="942D34"/>
              </w:rPr>
              <w:t>Jeff Zerillo</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4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r>
              <w:rPr>
                <w:rFonts w:ascii="Arial" w:cs="Arial" w:eastAsia="Arial" w:hAnsi="Arial"/>
                <w:sz w:val="18"/>
                <w:szCs w:val="18"/>
                <w:b w:val="1"/>
                <w:bCs w:val="1"/>
                <w:color w:val="942D34"/>
              </w:rPr>
              <w:t>Christine Sacco</w:t>
            </w:r>
          </w:p>
        </w:tc>
        <w:tc>
          <w:tcPr>
            <w:tcW w:w="4380" w:type="dxa"/>
            <w:vAlign w:val="bottom"/>
          </w:tcPr>
          <w:p>
            <w:pPr>
              <w:ind w:left="620"/>
              <w:spacing w:after="0"/>
              <w:rPr>
                <w:sz w:val="20"/>
                <w:szCs w:val="20"/>
                <w:color w:val="auto"/>
              </w:rPr>
            </w:pPr>
            <w:r>
              <w:rPr>
                <w:rFonts w:ascii="Arial" w:cs="Arial" w:eastAsia="Arial" w:hAnsi="Arial"/>
                <w:sz w:val="18"/>
                <w:szCs w:val="18"/>
                <w:color w:val="2F2F2E"/>
              </w:rPr>
              <w:t>Senior Vice President—Operations</w:t>
            </w: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r>
              <w:rPr>
                <w:rFonts w:ascii="Arial" w:cs="Arial" w:eastAsia="Arial" w:hAnsi="Arial"/>
                <w:sz w:val="18"/>
                <w:szCs w:val="18"/>
                <w:color w:val="2F2F2E"/>
              </w:rPr>
              <w:t>Chief Financial Officer and Chief Operating Officer</w:t>
            </w:r>
          </w:p>
        </w:tc>
        <w:tc>
          <w:tcPr>
            <w:tcW w:w="4380" w:type="dxa"/>
            <w:vAlign w:val="bottom"/>
            <w:vMerge w:val="restart"/>
          </w:tcPr>
          <w:p>
            <w:pPr>
              <w:ind w:left="620"/>
              <w:spacing w:after="0"/>
              <w:rPr>
                <w:sz w:val="20"/>
                <w:szCs w:val="20"/>
                <w:color w:val="auto"/>
              </w:rPr>
            </w:pPr>
            <w:r>
              <w:rPr>
                <w:rFonts w:ascii="Arial" w:cs="Arial" w:eastAsia="Arial" w:hAnsi="Arial"/>
                <w:sz w:val="18"/>
                <w:szCs w:val="18"/>
                <w:b w:val="1"/>
                <w:bCs w:val="1"/>
                <w:color w:val="942D34"/>
              </w:rPr>
              <w:t>Jose Rosado</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4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r>
              <w:rPr>
                <w:rFonts w:ascii="Arial" w:cs="Arial" w:eastAsia="Arial" w:hAnsi="Arial"/>
                <w:sz w:val="18"/>
                <w:szCs w:val="18"/>
                <w:b w:val="1"/>
                <w:bCs w:val="1"/>
                <w:color w:val="942D34"/>
              </w:rPr>
              <w:t>William P’Pool</w:t>
            </w:r>
          </w:p>
        </w:tc>
        <w:tc>
          <w:tcPr>
            <w:tcW w:w="4380" w:type="dxa"/>
            <w:vAlign w:val="bottom"/>
          </w:tcPr>
          <w:p>
            <w:pPr>
              <w:ind w:left="620"/>
              <w:spacing w:after="0"/>
              <w:rPr>
                <w:sz w:val="20"/>
                <w:szCs w:val="20"/>
                <w:color w:val="auto"/>
              </w:rPr>
            </w:pPr>
            <w:r>
              <w:rPr>
                <w:rFonts w:ascii="Arial" w:cs="Arial" w:eastAsia="Arial" w:hAnsi="Arial"/>
                <w:sz w:val="18"/>
                <w:szCs w:val="18"/>
                <w:color w:val="2F2F2E"/>
              </w:rPr>
              <w:t>Senior Vice President—Quality &amp; Regulatory</w:t>
            </w: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r>
              <w:rPr>
                <w:rFonts w:ascii="Arial" w:cs="Arial" w:eastAsia="Arial" w:hAnsi="Arial"/>
                <w:sz w:val="18"/>
                <w:szCs w:val="18"/>
                <w:color w:val="2F2F2E"/>
              </w:rPr>
              <w:t>Senior Vice President, General Counsel</w:t>
            </w:r>
          </w:p>
        </w:tc>
        <w:tc>
          <w:tcPr>
            <w:tcW w:w="4380" w:type="dxa"/>
            <w:vAlign w:val="bottom"/>
            <w:vMerge w:val="restart"/>
          </w:tcPr>
          <w:p>
            <w:pPr>
              <w:ind w:left="620"/>
              <w:spacing w:after="0"/>
              <w:rPr>
                <w:sz w:val="20"/>
                <w:szCs w:val="20"/>
                <w:color w:val="auto"/>
              </w:rPr>
            </w:pPr>
            <w:r>
              <w:rPr>
                <w:rFonts w:ascii="Arial" w:cs="Arial" w:eastAsia="Arial" w:hAnsi="Arial"/>
                <w:sz w:val="18"/>
                <w:szCs w:val="18"/>
                <w:b w:val="1"/>
                <w:bCs w:val="1"/>
                <w:color w:val="942D34"/>
              </w:rPr>
              <w:t>Jeff Thompson</w:t>
            </w:r>
          </w:p>
        </w:tc>
        <w:tc>
          <w:tcPr>
            <w:tcW w:w="0" w:type="dxa"/>
            <w:vAlign w:val="bottom"/>
          </w:tcPr>
          <w:p>
            <w:pPr>
              <w:spacing w:after="0"/>
              <w:rPr>
                <w:sz w:val="1"/>
                <w:szCs w:val="1"/>
                <w:color w:val="auto"/>
              </w:rPr>
            </w:pPr>
          </w:p>
        </w:tc>
      </w:tr>
      <w:tr>
        <w:trPr>
          <w:trHeight w:val="160"/>
        </w:trPr>
        <w:tc>
          <w:tcPr>
            <w:tcW w:w="4600" w:type="dxa"/>
            <w:vAlign w:val="bottom"/>
            <w:vMerge w:val="restart"/>
          </w:tcPr>
          <w:p>
            <w:pPr>
              <w:spacing w:after="0"/>
              <w:rPr>
                <w:sz w:val="20"/>
                <w:szCs w:val="20"/>
                <w:color w:val="auto"/>
              </w:rPr>
            </w:pPr>
            <w:r>
              <w:rPr>
                <w:rFonts w:ascii="Arial" w:cs="Arial" w:eastAsia="Arial" w:hAnsi="Arial"/>
                <w:sz w:val="18"/>
                <w:szCs w:val="18"/>
                <w:color w:val="2F2F2E"/>
              </w:rPr>
              <w:t>and Corporate Secretary</w:t>
            </w:r>
          </w:p>
        </w:tc>
        <w:tc>
          <w:tcPr>
            <w:tcW w:w="4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4600" w:type="dxa"/>
            <w:vAlign w:val="bottom"/>
            <w:vMerge w:val="continue"/>
          </w:tcPr>
          <w:p>
            <w:pPr>
              <w:spacing w:after="0"/>
              <w:rPr>
                <w:sz w:val="6"/>
                <w:szCs w:val="6"/>
                <w:color w:val="auto"/>
              </w:rPr>
            </w:pPr>
          </w:p>
        </w:tc>
        <w:tc>
          <w:tcPr>
            <w:tcW w:w="4380" w:type="dxa"/>
            <w:vAlign w:val="bottom"/>
            <w:vMerge w:val="restart"/>
          </w:tcPr>
          <w:p>
            <w:pPr>
              <w:ind w:left="620"/>
              <w:spacing w:after="0"/>
              <w:rPr>
                <w:sz w:val="20"/>
                <w:szCs w:val="20"/>
                <w:color w:val="auto"/>
              </w:rPr>
            </w:pPr>
            <w:r>
              <w:rPr>
                <w:rFonts w:ascii="Arial" w:cs="Arial" w:eastAsia="Arial" w:hAnsi="Arial"/>
                <w:sz w:val="18"/>
                <w:szCs w:val="18"/>
                <w:color w:val="2F2F2E"/>
                <w:w w:val="99"/>
              </w:rPr>
              <w:t>Vice President—Manufacturing and Operations</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4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494665</wp:posOffset>
            </wp:positionV>
            <wp:extent cx="6236335" cy="1659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
                      <a:extLst>
                        <a:ext uri="{28A0092B-C50C-407E-A947-70E740481C1C}"/>
                      </a:extLst>
                    </a:blip>
                    <a:srcRect/>
                    <a:stretch>
                      <a:fillRect/>
                    </a:stretch>
                  </pic:blipFill>
                  <pic:spPr bwMode="auto">
                    <a:xfrm>
                      <a:off x="0" y="0"/>
                      <a:ext cx="6236335" cy="1659890"/>
                    </a:xfrm>
                    <a:prstGeom prst="rect">
                      <a:avLst/>
                    </a:prstGeom>
                    <a:noFill/>
                  </pic:spPr>
                </pic:pic>
              </a:graphicData>
            </a:graphic>
          </wp:anchor>
        </w:drawing>
      </w:r>
    </w:p>
    <w:p>
      <w:pPr>
        <w:sectPr>
          <w:pgSz w:w="11880" w:h="15480" w:orient="portrait"/>
          <w:cols w:equalWidth="0" w:num="1">
            <w:col w:w="10080"/>
          </w:cols>
          <w:pgMar w:left="900" w:top="1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tabs>
          <w:tab w:leader="none" w:pos="440" w:val="left"/>
          <w:tab w:leader="none" w:pos="7460" w:val="left"/>
        </w:tabs>
        <w:rPr>
          <w:sz w:val="20"/>
          <w:szCs w:val="20"/>
          <w:color w:val="auto"/>
        </w:rPr>
      </w:pPr>
      <w:r>
        <w:rPr>
          <w:rFonts w:ascii="Arial" w:cs="Arial" w:eastAsia="Arial" w:hAnsi="Arial"/>
          <w:sz w:val="16"/>
          <w:szCs w:val="16"/>
          <w:b w:val="1"/>
          <w:bCs w:val="1"/>
          <w:color w:val="353E5E"/>
        </w:rPr>
        <w:t>8</w:t>
      </w:r>
      <w:r>
        <w:rPr>
          <w:sz w:val="20"/>
          <w:szCs w:val="20"/>
          <w:color w:val="auto"/>
        </w:rPr>
        <w:tab/>
      </w:r>
      <w:r>
        <w:rPr>
          <w:rFonts w:ascii="Arial" w:cs="Arial" w:eastAsia="Arial" w:hAnsi="Arial"/>
          <w:sz w:val="16"/>
          <w:szCs w:val="16"/>
          <w:color w:val="2F2F2E"/>
        </w:rPr>
        <w:t>2026 Annual Report</w:t>
      </w:r>
      <w:r>
        <w:rPr>
          <w:sz w:val="20"/>
          <w:szCs w:val="20"/>
          <w:color w:val="auto"/>
        </w:rPr>
        <w:tab/>
      </w:r>
      <w:r>
        <w:rPr>
          <w:rFonts w:ascii="Arial" w:cs="Arial" w:eastAsia="Arial" w:hAnsi="Arial"/>
          <w:sz w:val="15"/>
          <w:szCs w:val="15"/>
          <w:b w:val="1"/>
          <w:bCs w:val="1"/>
          <w:color w:val="353E5E"/>
        </w:rPr>
        <w:t>Prestige Consumer Healthcare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34925</wp:posOffset>
                </wp:positionV>
                <wp:extent cx="13906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065" cy="4763"/>
                        </a:xfrm>
                        <a:prstGeom prst="line">
                          <a:avLst/>
                        </a:prstGeom>
                        <a:solidFill>
                          <a:srgbClr val="FFFFFF"/>
                        </a:solidFill>
                        <a:ln w="12700">
                          <a:solidFill>
                            <a:srgbClr val="942D34"/>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5pt" to="10.95pt,2.75pt" o:allowincell="f" strokecolor="#942D34" strokeweight="1pt"/>
            </w:pict>
          </mc:Fallback>
        </mc:AlternateContent>
        <w:drawing>
          <wp:anchor simplePos="0" relativeHeight="251657728" behindDoc="1" locked="0" layoutInCell="0" allowOverlap="1">
            <wp:simplePos x="0" y="0"/>
            <wp:positionH relativeFrom="column">
              <wp:posOffset>-570865</wp:posOffset>
            </wp:positionH>
            <wp:positionV relativeFrom="paragraph">
              <wp:posOffset>258445</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6964045</wp:posOffset>
            </wp:positionH>
            <wp:positionV relativeFrom="paragraph">
              <wp:posOffset>258445</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10080"/>
          </w:cols>
          <w:pgMar w:left="900" w:top="1208" w:right="900" w:bottom="0" w:gutter="0" w:footer="0" w:header="0"/>
          <w:type w:val="continuous"/>
        </w:sectPr>
      </w:pPr>
    </w:p>
    <w:bookmarkStart w:id="12" w:name="page13"/>
    <w:bookmarkEnd w:id="12"/>
    <w:p>
      <w:pPr>
        <w:spacing w:after="0"/>
        <w:rPr>
          <w:sz w:val="20"/>
          <w:szCs w:val="20"/>
          <w:color w:val="auto"/>
        </w:rPr>
      </w:pPr>
      <w:r>
        <w:rPr>
          <w:rFonts w:ascii="Arial" w:cs="Arial" w:eastAsia="Arial" w:hAnsi="Arial"/>
          <w:sz w:val="58"/>
          <w:szCs w:val="58"/>
          <w:color w:val="353E5E"/>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t>STOCKHOLDER</w:t>
      </w:r>
    </w:p>
    <w:p>
      <w:pPr>
        <w:spacing w:after="0"/>
        <w:rPr>
          <w:sz w:val="20"/>
          <w:szCs w:val="20"/>
          <w:color w:val="auto"/>
        </w:rPr>
      </w:pPr>
      <w:r>
        <w:rPr>
          <w:rFonts w:ascii="Arial" w:cs="Arial" w:eastAsia="Arial" w:hAnsi="Arial"/>
          <w:sz w:val="58"/>
          <w:szCs w:val="58"/>
          <w:b w:val="1"/>
          <w:bCs w:val="1"/>
          <w:color w:val="353E5E"/>
        </w:rPr>
        <w:t>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92075</wp:posOffset>
                </wp:positionV>
                <wp:extent cx="40576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765" cy="4763"/>
                        </a:xfrm>
                        <a:prstGeom prst="line">
                          <a:avLst/>
                        </a:prstGeom>
                        <a:solidFill>
                          <a:srgbClr val="FFFFFF"/>
                        </a:solidFill>
                        <a:ln w="63500">
                          <a:solidFill>
                            <a:srgbClr val="942D34"/>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25pt" to="31.95pt,7.25pt" o:allowincell="f" strokecolor="#942D34" strokeweight="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353E5E"/>
        </w:rPr>
        <w:t>TRANSFER AGENT AND REGISTRAR</w:t>
      </w:r>
    </w:p>
    <w:p>
      <w:pPr>
        <w:spacing w:after="0" w:line="125"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2F2F2E"/>
        </w:rPr>
        <w:t>Registered stockholders with questions regarding stock holdings, certificate replacement/transfer and address change should contact our Transfer Agent: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2F2F2E"/>
        </w:rPr>
        <w:t>Equiniti Trust Company, LLC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F2F2E"/>
        </w:rPr>
        <w:t>28 Liberty Street, Floor 53</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F2F2E"/>
        </w:rPr>
        <w:t>New York, NY 10005</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353E5E"/>
        </w:rPr>
        <w:t>INDEPENDENT AUDITOR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2F2F2E"/>
        </w:rPr>
        <w:t>PricewaterhouseCoopers LLP</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F2F2E"/>
        </w:rPr>
        <w:t>300 Atlantic Street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F2F2E"/>
        </w:rPr>
        <w:t>Stamford, CT 06901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353E5E"/>
        </w:rPr>
        <w:t>COMMON STOCK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-1562735</wp:posOffset>
            </wp:positionV>
            <wp:extent cx="2146935" cy="6261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5">
                      <a:extLst>
                        <a:ext uri="{28A0092B-C50C-407E-A947-70E740481C1C}"/>
                      </a:extLst>
                    </a:blip>
                    <a:srcRect/>
                    <a:stretch>
                      <a:fillRect/>
                    </a:stretch>
                  </pic:blipFill>
                  <pic:spPr bwMode="auto">
                    <a:xfrm>
                      <a:off x="0" y="0"/>
                      <a:ext cx="2146935" cy="62611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-2491105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2F2F2E"/>
        </w:rPr>
        <w:t>New York Stock Exchange (Symbol—PBH)</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353E5E"/>
        </w:rPr>
        <w:t>INVESTOR INQUIRIES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2F2F2E"/>
        </w:rPr>
        <w:t>Attn: Investor Relations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F2F2E"/>
        </w:rPr>
        <w:t>Prestige Consumer Healthcare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F2F2E"/>
        </w:rPr>
        <w:t>660 White Plains Road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F2F2E"/>
        </w:rPr>
        <w:t>Tarrytown, NY 10591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F2F2E"/>
        </w:rPr>
        <w:t>Telephone: (914) 524-6800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F2F2E"/>
        </w:rPr>
        <w:t>IRInquiries@PrestigeBrands.com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942D34"/>
        </w:rPr>
        <w:t>www.PrestigeConsumerHealthcare.com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-3314700</wp:posOffset>
                </wp:positionH>
                <wp:positionV relativeFrom="paragraph">
                  <wp:posOffset>1755775</wp:posOffset>
                </wp:positionV>
                <wp:extent cx="640016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4763"/>
                        </a:xfrm>
                        <a:prstGeom prst="line">
                          <a:avLst/>
                        </a:prstGeom>
                        <a:solidFill>
                          <a:srgbClr val="FFFFFF"/>
                        </a:solidFill>
                        <a:ln w="6350">
                          <a:solidFill>
                            <a:srgbClr val="353E5E"/>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pt,138.25pt" to="242.95pt,138.25pt" o:allowincell="f" strokecolor="#353E5E" strokeweight="0.5pt"/>
            </w:pict>
          </mc:Fallback>
        </mc:AlternateContent>
      </w:r>
    </w:p>
    <w:p>
      <w:pPr>
        <w:spacing w:after="0" w:line="280" w:lineRule="exact"/>
        <w:rPr>
          <w:sz w:val="20"/>
          <w:szCs w:val="20"/>
          <w:color w:val="auto"/>
        </w:rPr>
      </w:pPr>
    </w:p>
    <w:p>
      <w:pPr>
        <w:sectPr>
          <w:pgSz w:w="11880" w:h="15480" w:orient="portrait"/>
          <w:cols w:equalWidth="0" w:num="2">
            <w:col w:w="4500" w:space="720"/>
            <w:col w:w="4820"/>
          </w:cols>
          <w:pgMar w:left="900" w:top="120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353E5E"/>
        </w:rPr>
        <w:t>CAUTIONARY STATEMENT REGARDING FORWARD-LOOKING STATEMENTS</w:t>
      </w:r>
    </w:p>
    <w:p>
      <w:pPr>
        <w:spacing w:after="0" w:line="125" w:lineRule="exact"/>
        <w:rPr>
          <w:sz w:val="20"/>
          <w:szCs w:val="20"/>
          <w:color w:val="auto"/>
        </w:rPr>
      </w:pPr>
    </w:p>
    <w:p>
      <w:pPr>
        <w:spacing w:after="0" w:line="288" w:lineRule="auto"/>
        <w:rPr>
          <w:sz w:val="20"/>
          <w:szCs w:val="20"/>
          <w:color w:val="auto"/>
        </w:rPr>
      </w:pPr>
      <w:r>
        <w:rPr>
          <w:rFonts w:ascii="Arial" w:cs="Arial" w:eastAsia="Arial" w:hAnsi="Arial"/>
          <w:sz w:val="16"/>
          <w:szCs w:val="16"/>
          <w:color w:val="2F2F2E"/>
        </w:rPr>
        <w:t>This annual report contains “forward-looking statements” within the meaning of the federal securities laws that are intended to qualify for the safe harbor from liability established by the Private Securities Litigation Reform Act of 1995. “Forward-looking statements” generally can be identified by the use of forward-looking terminology such as “guidance,” “outlook,” “look forward,” “projection,” “plan,” “positioned,” “may,” “will,” “would,” “expect,” “anticipate,” “believe,” “consistent,” “confidence,” “opportunity,” or “continue” (or the negative or other deriva-tives of each of these terms) or similar terminology. The “forward-looking statements” include, without limitation, statements regarding the Company’s future operating results, including revenues, free cash flow, organic growth and diluted earnings per share; the success of new product introductions; consumer demand; the successful completion and integration of acquisitions and the realization of expected benefits from such acquisitions; the Company’s intended uses of cash flow, including debt repayment and deleveraging, share repurchases, acqui-sitions and capital expenditures; the creation of shareholder value; and the Company’s ability to navigate a challenging environment. These statements are based on management’s estimates and assumptions with respect to future events and financial performance and are believed to be reasonable, though they are inherently uncertain and difficult to predict.</w:t>
      </w:r>
    </w:p>
    <w:p>
      <w:pPr>
        <w:spacing w:after="0" w:line="1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2F2F2E"/>
        </w:rPr>
        <w:t>Actual results could differ materially from those expected as a result of a variety of factors, including the impact of the Company’s efforts to address supply chain constraints; the ability of the Company’s manufacturing operations and third-party manufacturers, logistics providers and suppliers to meet demand for its products and to avoid inflationary cost increases and disruption, including as a result of labor shortages; business and economic conditions, including evolving U.S. and international tariffs and trade actions, inflation and geopolitical instability; consumer trends; the impact of the Company’s advertising and marketing and new product development initiatives; customer inventory management initiatives; fluctuating foreign exchange rates; competitive pressures; the Company’s ability to successfully complete and integrate acquisitions and realize expected benefits from such acquisitions; and other risks and uncertainties. A discussion of other factors that could cause results to vary is included in the Company’s Annual Report on Form 10-K for the year ended March 31, 2026 and other periodic reports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219075</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6964045</wp:posOffset>
            </wp:positionH>
            <wp:positionV relativeFrom="paragraph">
              <wp:posOffset>219075</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10040"/>
          </w:cols>
          <w:pgMar w:left="900" w:top="1208" w:right="940" w:bottom="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6"/>
          <w:szCs w:val="26"/>
          <w:color w:val="FFFFFF"/>
        </w:rPr>
        <w:t>www.prestigebrands.com</w:t>
      </w:r>
    </w:p>
    <w:sectPr>
      <w:pgSz w:w="11880" w:h="15480" w:orient="portrait"/>
      <w:cols w:equalWidth="0" w:num="1">
        <w:col w:w="900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y"/>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2026-06-29T05:26:38Z</dcterms:created>
  <dcterms:modified xsi:type="dcterms:W3CDTF">2026-06-29T05:26:38Z</dcterms:modified>
</cp:coreProperties>
</file>