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tm2622318-3_4seq1.xml.htm"/>
      <w:bookmarkStart w:id="1" w:name="kstm26223183_4seq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DArecca James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660 WHITE PLAINS ROAD</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TARRYTOWN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10591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Prestige Consumer Healthcare Inc.</w:t>
              </w:r>
            </w:hyperlink>
            <w:r>
              <w:rPr/>
              <w:t xml:space="preserve"> [ </w:t>
            </w:r>
            <w:r>
              <w:rPr>
                <w:rFonts w:ascii="Times;serif" w:hAnsi="Times;serif"/>
                <w:color w:val="0000FF"/>
                <w:sz w:val="24"/>
                <w:shd w:fill="FFFFFF" w:val="clear"/>
              </w:rPr>
              <w:t>PBH</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5"/>
        <w:gridCol w:w="903"/>
        <w:gridCol w:w="772"/>
        <w:gridCol w:w="600"/>
        <w:gridCol w:w="352"/>
        <w:gridCol w:w="898"/>
        <w:gridCol w:w="464"/>
        <w:gridCol w:w="626"/>
        <w:gridCol w:w="1179"/>
        <w:gridCol w:w="1009"/>
        <w:gridCol w:w="92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8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7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$0.01 per share</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08/04/2026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2,981</w:t>
            </w:r>
            <w:r>
              <w:rPr>
                <w:rFonts w:ascii="Times;serif" w:hAnsi="Times;serif"/>
                <w:color w:val="008000"/>
                <w:position w:val="7"/>
                <w:sz w:val="16"/>
                <w:sz w:val="20"/>
                <w:shd w:fill="FFFFFF" w:val="clear"/>
              </w:rPr>
              <w:t>(1)</w:t>
            </w:r>
          </w:p>
        </w:tc>
        <w:tc>
          <w:tcPr>
            <w:tcW w:w="46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7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9,572</w:t>
            </w:r>
          </w:p>
        </w:tc>
        <w:tc>
          <w:tcPr>
            <w:tcW w:w="100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Reporting Person received 2,981 restricted stock units equal to $155,000 divided by the closing stock price of $52.00 on August 4, 2026, in connection with the Issuer's director compensation program. The restricted stock units vest on the first anniversary of grant and will be settled by delivery to the Reporting Person of one share of common stock of the issuer for each vested restricted stock unit promptly following the earliest of (1) the Reporting Person's death, (ii) the Reporting Person's separation or (iii) change in control.</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James C. D'Arecca by Christine Sacco Attorney-in-Fact pursuant to Power of Attorney dated July 5, 2023 on file with the Commission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83903" TargetMode="External"/><Relationship Id="rId5" Type="http://schemas.openxmlformats.org/officeDocument/2006/relationships/hyperlink" Target="http://www.sec.gov/cgi-bin/browse-edgar?action=getcompany&amp;CIK=000129594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671</Words>
  <Characters>3618</Characters>
  <CharactersWithSpaces>4223</CharactersWithSpaces>
  <Paragraphs>94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