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1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12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P'Pool William</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1400" w:type="dxa"/>
            <w:vAlign w:val="bottom"/>
          </w:tcPr>
          <w:p>
            <w:pPr>
              <w:ind w:left="2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660 WHITE PLAINS ROAD</w:t>
            </w:r>
          </w:p>
        </w:tc>
        <w:tc>
          <w:tcPr>
            <w:tcW w:w="14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r>
      <w:tr>
        <w:trPr>
          <w:trHeight w:val="26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TARRYTOWN</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10591</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60"/>
              <w:spacing w:after="0"/>
              <w:rPr>
                <w:sz w:val="20"/>
                <w:szCs w:val="20"/>
                <w:color w:val="auto"/>
              </w:rPr>
            </w:pPr>
            <w:r>
              <w:rPr>
                <w:rFonts w:ascii="Arial" w:cs="Arial" w:eastAsia="Arial" w:hAnsi="Arial"/>
                <w:sz w:val="13"/>
                <w:szCs w:val="13"/>
                <w:color w:val="auto"/>
              </w:rPr>
              <w:t>(State)</w:t>
            </w:r>
          </w:p>
        </w:tc>
        <w:tc>
          <w:tcPr>
            <w:tcW w:w="1400" w:type="dxa"/>
            <w:vAlign w:val="bottom"/>
          </w:tcPr>
          <w:p>
            <w:pPr>
              <w:ind w:left="2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Prestige Consumer Healthcare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PBH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40" w:type="dxa"/>
            <w:vAlign w:val="bottom"/>
            <w:tcBorders>
              <w:top w:val="single" w:sz="8" w:color="0000EE"/>
            </w:tcBorders>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160" w:type="dxa"/>
            <w:vAlign w:val="bottom"/>
          </w:tcPr>
          <w:p>
            <w:pPr>
              <w:ind w:left="20"/>
              <w:spacing w:after="0" w:line="148" w:lineRule="exact"/>
              <w:rPr>
                <w:sz w:val="20"/>
                <w:szCs w:val="20"/>
                <w:color w:val="auto"/>
              </w:rPr>
            </w:pPr>
            <w:r>
              <w:rPr>
                <w:rFonts w:ascii="Arial" w:cs="Arial" w:eastAsia="Arial" w:hAnsi="Arial"/>
                <w:sz w:val="13"/>
                <w:szCs w:val="13"/>
                <w:color w:val="auto"/>
              </w:rPr>
              <w:t>10% Owner</w:t>
            </w: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8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940" w:type="dxa"/>
            <w:vAlign w:val="bottom"/>
          </w:tcPr>
          <w:p>
            <w:pPr>
              <w:ind w:left="400"/>
              <w:spacing w:after="0" w:line="126" w:lineRule="exact"/>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line="126" w:lineRule="exact"/>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rPr>
                <w:sz w:val="20"/>
                <w:szCs w:val="20"/>
                <w:color w:val="auto"/>
              </w:rPr>
            </w:pPr>
            <w:r>
              <w:rPr>
                <w:rFonts w:ascii="Arial" w:cs="Arial" w:eastAsia="Arial" w:hAnsi="Arial"/>
                <w:sz w:val="13"/>
                <w:szCs w:val="13"/>
                <w:color w:val="auto"/>
              </w:rPr>
              <w:t>below)</w:t>
            </w:r>
          </w:p>
        </w:tc>
      </w:tr>
      <w:tr>
        <w:trPr>
          <w:trHeight w:val="253"/>
        </w:trPr>
        <w:tc>
          <w:tcPr>
            <w:tcW w:w="3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05/04/2026</w:t>
            </w: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ind w:left="10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22"/>
                <w:szCs w:val="22"/>
                <w:color w:val="auto"/>
              </w:rPr>
            </w:pPr>
          </w:p>
        </w:tc>
      </w:tr>
      <w:tr>
        <w:trPr>
          <w:trHeight w:val="248"/>
        </w:trPr>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8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100" w:type="dxa"/>
            <w:vAlign w:val="bottom"/>
            <w:tcBorders>
              <w:bottom w:val="single" w:sz="8" w:color="2C2C2C"/>
            </w:tcBorders>
            <w:gridSpan w:val="2"/>
          </w:tcPr>
          <w:p>
            <w:pPr>
              <w:spacing w:after="0"/>
              <w:rPr>
                <w:sz w:val="21"/>
                <w:szCs w:val="2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12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8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05/04/2026</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jc w:val="center"/>
              <w:ind w:right="379"/>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3,675</w:t>
            </w:r>
            <w:r>
              <w:rPr>
                <w:rFonts w:ascii="Times New Roman" w:cs="Times New Roman" w:eastAsia="Times New Roman" w:hAnsi="Times New Roman"/>
                <w:sz w:val="22"/>
                <w:szCs w:val="22"/>
                <w:color w:val="008000"/>
                <w:w w:val="93"/>
                <w:vertAlign w:val="superscript"/>
              </w:rPr>
              <w:t>(1)</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w w:val="98"/>
              </w:rPr>
              <w:t>25,850</w:t>
            </w:r>
          </w:p>
        </w:tc>
        <w:tc>
          <w:tcPr>
            <w:tcW w:w="300" w:type="dxa"/>
            <w:vAlign w:val="bottom"/>
          </w:tcPr>
          <w:p>
            <w:pPr>
              <w:spacing w:after="0"/>
              <w:rPr>
                <w:sz w:val="21"/>
                <w:szCs w:val="21"/>
                <w:color w:val="auto"/>
              </w:rPr>
            </w:pPr>
          </w:p>
        </w:tc>
        <w:tc>
          <w:tcPr>
            <w:tcW w:w="580" w:type="dxa"/>
            <w:vAlign w:val="bottom"/>
            <w:vMerge w:val="restart"/>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05/04/2026</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jc w:val="center"/>
              <w:ind w:right="359"/>
              <w:spacing w:after="0"/>
              <w:rPr>
                <w:sz w:val="20"/>
                <w:szCs w:val="20"/>
                <w:color w:val="auto"/>
              </w:rPr>
            </w:pPr>
            <w:r>
              <w:rPr>
                <w:rFonts w:ascii="Times New Roman" w:cs="Times New Roman" w:eastAsia="Times New Roman" w:hAnsi="Times New Roman"/>
                <w:sz w:val="13"/>
                <w:szCs w:val="13"/>
                <w:color w:val="0000FF"/>
              </w:rPr>
              <w:t>F</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1,888</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vMerge w:val="restart"/>
          </w:tcPr>
          <w:p>
            <w:pPr>
              <w:jc w:val="center"/>
              <w:ind w:left="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55.31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w w:val="98"/>
              </w:rPr>
              <w:t>23,962</w:t>
            </w:r>
          </w:p>
        </w:tc>
        <w:tc>
          <w:tcPr>
            <w:tcW w:w="300" w:type="dxa"/>
            <w:vAlign w:val="bottom"/>
          </w:tcPr>
          <w:p>
            <w:pPr>
              <w:spacing w:after="0"/>
              <w:rPr>
                <w:sz w:val="21"/>
                <w:szCs w:val="21"/>
                <w:color w:val="auto"/>
              </w:rPr>
            </w:pPr>
          </w:p>
        </w:tc>
        <w:tc>
          <w:tcPr>
            <w:tcW w:w="580" w:type="dxa"/>
            <w:vAlign w:val="bottom"/>
            <w:vMerge w:val="restart"/>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05/04/2026</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jc w:val="center"/>
              <w:ind w:right="379"/>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4,187</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w w:val="98"/>
              </w:rPr>
              <w:t>28,149</w:t>
            </w:r>
          </w:p>
        </w:tc>
        <w:tc>
          <w:tcPr>
            <w:tcW w:w="300" w:type="dxa"/>
            <w:vAlign w:val="bottom"/>
          </w:tcPr>
          <w:p>
            <w:pPr>
              <w:spacing w:after="0"/>
              <w:rPr>
                <w:sz w:val="21"/>
                <w:szCs w:val="21"/>
                <w:color w:val="auto"/>
              </w:rPr>
            </w:pPr>
          </w:p>
        </w:tc>
        <w:tc>
          <w:tcPr>
            <w:tcW w:w="580" w:type="dxa"/>
            <w:vAlign w:val="bottom"/>
            <w:vMerge w:val="restart"/>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vMerge w:val="restart"/>
          </w:tcPr>
          <w:p>
            <w:pPr>
              <w:jc w:val="center"/>
              <w:ind w:left="313"/>
              <w:spacing w:after="0"/>
              <w:rPr>
                <w:sz w:val="20"/>
                <w:szCs w:val="20"/>
                <w:color w:val="auto"/>
              </w:rPr>
            </w:pPr>
            <w:r>
              <w:rPr>
                <w:rFonts w:ascii="Times New Roman" w:cs="Times New Roman" w:eastAsia="Times New Roman" w:hAnsi="Times New Roman"/>
                <w:sz w:val="17"/>
                <w:szCs w:val="17"/>
                <w:color w:val="0000FF"/>
              </w:rPr>
              <w:t>100</w:t>
            </w: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vMerge w:val="restart"/>
          </w:tcPr>
          <w:p>
            <w:pPr>
              <w:jc w:val="center"/>
              <w:ind w:right="329"/>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By Fidelity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Charitable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vMerge w:val="continue"/>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right"/>
              <w:ind w:right="580"/>
              <w:spacing w:after="0" w:line="133" w:lineRule="exact"/>
              <w:rPr>
                <w:sz w:val="20"/>
                <w:szCs w:val="20"/>
                <w:color w:val="auto"/>
              </w:rPr>
            </w:pPr>
            <w:r>
              <w:rPr>
                <w:rFonts w:ascii="Arial" w:cs="Arial" w:eastAsia="Arial" w:hAnsi="Arial"/>
                <w:sz w:val="12"/>
                <w:szCs w:val="12"/>
                <w:b w:val="1"/>
                <w:bCs w:val="1"/>
                <w:color w:val="auto"/>
                <w:w w:val="93"/>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4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line="133" w:lineRule="exact"/>
              <w:rPr>
                <w:sz w:val="20"/>
                <w:szCs w:val="20"/>
                <w:color w:val="auto"/>
              </w:rPr>
            </w:pPr>
            <w:r>
              <w:rPr>
                <w:rFonts w:ascii="Arial" w:cs="Arial" w:eastAsia="Arial" w:hAnsi="Arial"/>
                <w:sz w:val="12"/>
                <w:szCs w:val="12"/>
                <w:b w:val="1"/>
                <w:bCs w:val="1"/>
                <w:color w:val="auto"/>
                <w:w w:val="92"/>
              </w:rPr>
              <w:t>(Instr. 4)</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settlement of performance stock units ("PSUs") granted to the reporting person on May 5, 2023, which PSUs vested on May 4, 2026 based on achievement of goals related to per share growth.</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installments of 1,395 shares on May 4, 2027 and 1.396 shares each on May 4, 2028 and May 4, 2029.</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in the P'Pool Family Giving Fund.</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SVP, General Counsel &amp; Corp Secretary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William P'Pool</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05/06/2026</w:t>
            </w: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1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5752" TargetMode="External"/><Relationship Id="rId14" Type="http://schemas.openxmlformats.org/officeDocument/2006/relationships/hyperlink" Target="http://www.sec.gov/cgi-bin/browse-edgar?action=getcompany&amp;CIK=00012959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2026-05-06T16:22:16Z</dcterms:created>
  <dcterms:modified xsi:type="dcterms:W3CDTF">2026-05-06T16:22:16Z</dcterms:modified>
</cp:coreProperties>
</file>