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18-4_4seq1.xml.htm"/>
      <w:bookmarkStart w:id="1" w:name="kstm2622318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John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 WHITE PLAINS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Prestige Consumer Healthcare Inc.</w:t>
              </w:r>
            </w:hyperlink>
            <w:r>
              <w:rPr/>
              <w:t xml:space="preserve"> [ </w:t>
            </w:r>
            <w:r>
              <w:rPr>
                <w:rFonts w:ascii="Times;serif" w:hAnsi="Times;serif"/>
                <w:color w:val="0000FF"/>
                <w:sz w:val="24"/>
                <w:shd w:fill="FFFFFF" w:val="clear"/>
              </w:rPr>
              <w:t>PBH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2,981 restricted stock units equal to $155,000 divided by the closing stock price of $52.00 on August 4, 2026, in connection with the Issuer's director compensation program. The restricted stock units vest on the first anniversary of grant and will be settled by delivery to the Reporting Person of one share of common stock of the issuer for each vested restricted stock unit promptly following the earliest of (1) the Reporting Person's death, (ii) the Reporting Person's separation or (iii)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 Kelly by Christine Sacco Attorney-in-Fact pursuant to Power of Attorney dated August 7, 2024 on file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0285" TargetMode="External"/><Relationship Id="rId5" Type="http://schemas.openxmlformats.org/officeDocument/2006/relationships/hyperlink" Target="http://www.sec.gov/cgi-bin/browse-edgar?action=getcompany&amp;CIK=00012959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3615</Characters>
  <CharactersWithSpaces>4221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