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27.jpeg" ContentType="image/jpeg"/>
  <Override PartName="/word/media/image126.jpeg" ContentType="image/jpeg"/>
  <Override PartName="/word/media/image125.jpeg" ContentType="image/jpeg"/>
  <Override PartName="/word/media/image124.jpeg" ContentType="image/jpeg"/>
  <Override PartName="/word/media/image123.jpeg" ContentType="image/jpeg"/>
  <Override PartName="/word/media/image122.jpeg" ContentType="image/jpeg"/>
  <Override PartName="/word/media/image121.jpeg" ContentType="image/jpeg"/>
  <Override PartName="/word/media/image115.jpeg" ContentType="image/jpeg"/>
  <Override PartName="/word/media/image114.jpeg" ContentType="image/jpeg"/>
  <Override PartName="/word/media/image113.jpeg" ContentType="image/jpeg"/>
  <Override PartName="/word/media/image99.jpeg" ContentType="image/jpeg"/>
  <Override PartName="/word/media/image98.jpeg" ContentType="image/jpeg"/>
  <Override PartName="/word/media/image97.jpeg" ContentType="image/jpeg"/>
  <Override PartName="/word/media/image96.jpeg" ContentType="image/jpeg"/>
  <Override PartName="/word/media/image95.jpeg" ContentType="image/jpeg"/>
  <Override PartName="/word/media/image94.jpeg" ContentType="image/jpeg"/>
  <Override PartName="/word/media/image93.jpeg" ContentType="image/jpeg"/>
  <Override PartName="/word/media/image112.jpeg" ContentType="image/jpeg"/>
  <Override PartName="/word/media/image92.jpeg" ContentType="image/jpeg"/>
  <Override PartName="/word/media/image19.jpeg" ContentType="image/jpeg"/>
  <Override PartName="/word/media/image111.jpeg" ContentType="image/jpeg"/>
  <Override PartName="/word/media/image91.jpeg" ContentType="image/jpeg"/>
  <Override PartName="/word/media/image18.jpeg" ContentType="image/jpeg"/>
  <Override PartName="/word/media/image110.jpeg" ContentType="image/jpeg"/>
  <Override PartName="/word/media/image90.jpeg" ContentType="image/jpeg"/>
  <Override PartName="/word/media/image17.jpeg" ContentType="image/jpeg"/>
  <Override PartName="/word/media/image76.jpeg" ContentType="image/jpeg"/>
  <Override PartName="/word/media/image75.jpeg" ContentType="image/jpeg"/>
  <Override PartName="/word/media/image49.gif" ContentType="image/gif"/>
  <Override PartName="/word/media/image74.jpeg" ContentType="image/jpeg"/>
  <Override PartName="/word/media/image39.gif" ContentType="image/gif"/>
  <Override PartName="/word/media/image73.jpeg" ContentType="image/jpeg"/>
  <Override PartName="/word/media/image72.jpeg" ContentType="image/jpeg"/>
  <Override PartName="/word/media/image71.jpeg" ContentType="image/jpeg"/>
  <Override PartName="/word/media/image70.jpeg" ContentType="image/jpeg"/>
  <Override PartName="/word/media/image67.gif" ContentType="image/gif"/>
  <Override PartName="/word/media/image159.jpeg" ContentType="image/jpeg"/>
  <Override PartName="/word/media/image69.jpeg" ContentType="image/jpeg"/>
  <Override PartName="/word/media/image68.jpeg" ContentType="image/jpeg"/>
  <Override PartName="/word/media/image66.jpeg" ContentType="image/jpeg"/>
  <Override PartName="/word/media/image65.jpeg" ContentType="image/jpeg"/>
  <Override PartName="/word/media/image64.jpeg" ContentType="image/jpeg"/>
  <Override PartName="/word/media/image63.jpeg" ContentType="image/jpeg"/>
  <Override PartName="/word/media/image79.jpeg" ContentType="image/jpeg"/>
  <Override PartName="/word/media/image34.jpeg" ContentType="image/jpeg"/>
  <Override PartName="/word/media/image38.gif" ContentType="image/gif"/>
  <Override PartName="/word/media/image130.jpeg" ContentType="image/jpeg"/>
  <Override PartName="/word/media/image51.jpeg" ContentType="image/jpeg"/>
  <Override PartName="/word/media/image48.gif" ContentType="image/gif"/>
  <Override PartName="/word/media/image131.jpeg" ContentType="image/jpeg"/>
  <Override PartName="/word/media/image148.jpeg" ContentType="image/jpeg"/>
  <Override PartName="/word/media/image52.jpeg" ContentType="image/jpeg"/>
  <Override PartName="/word/media/image59.jpeg" ContentType="image/jpeg"/>
  <Override PartName="/word/media/image42.jpeg" ContentType="image/jpeg"/>
  <Override PartName="/word/media/image138.jpeg" ContentType="image/jpeg"/>
  <Override PartName="/word/media/image132.gif" ContentType="image/gif"/>
  <Override PartName="/word/media/image144.jpeg" ContentType="image/jpeg"/>
  <Override PartName="/word/media/image133.jpeg" ContentType="image/jpeg"/>
  <Override PartName="/word/media/image54.jpeg" ContentType="image/jpeg"/>
  <Override PartName="/word/media/image45.jpeg" ContentType="image/jpeg"/>
  <Override PartName="/word/media/image136.jpeg" ContentType="image/jpeg"/>
  <Override PartName="/word/media/image57.jpeg" ContentType="image/jpeg"/>
  <Override PartName="/word/media/image140.jpeg" ContentType="image/jpeg"/>
  <Override PartName="/word/media/image158.jpeg" ContentType="image/jpeg"/>
  <Override PartName="/word/media/image62.jpeg" ContentType="image/jpeg"/>
  <Override PartName="/word/media/image43.jpeg" ContentType="image/jpeg"/>
  <Override PartName="/word/media/image139.jpeg" ContentType="image/jpeg"/>
  <Override PartName="/word/media/image134.jpeg" ContentType="image/jpeg"/>
  <Override PartName="/word/media/image55.jpeg" ContentType="image/jpeg"/>
  <Override PartName="/word/media/image161.jpeg" ContentType="image/jpeg"/>
  <Override PartName="/word/media/image16.jpeg" ContentType="image/jpeg"/>
  <Override PartName="/word/media/image44.jpeg" ContentType="image/jpeg"/>
  <Override PartName="/word/media/image135.jpeg" ContentType="image/jpeg"/>
  <Override PartName="/word/media/image56.jpeg" ContentType="image/jpeg"/>
  <Override PartName="/word/media/image50.gif" ContentType="image/gif"/>
  <Override PartName="/word/media/image147.gif" ContentType="image/gif"/>
  <Override PartName="/word/media/image162.jpeg" ContentType="image/jpeg"/>
  <Override PartName="/word/media/image163.gif" ContentType="image/gif"/>
  <Override PartName="/word/media/image167.jpeg" ContentType="image/jpeg"/>
  <Override PartName="/word/media/image150.jpeg" ContentType="image/jpeg"/>
  <Override PartName="/word/media/image46.jpeg" ContentType="image/jpeg"/>
  <Override PartName="/word/media/image137.jpeg" ContentType="image/jpeg"/>
  <Override PartName="/word/media/image58.jpeg" ContentType="image/jpeg"/>
  <Override PartName="/word/media/image164.jpeg" ContentType="image/jpeg"/>
  <Override PartName="/word/media/image47.jpeg" ContentType="image/jpeg"/>
  <Override PartName="/word/media/image165.jpeg" ContentType="image/jpeg"/>
  <Override PartName="/word/media/image166.jpeg" ContentType="image/jpeg"/>
  <Override PartName="/word/media/image141.jpeg" ContentType="image/jpeg"/>
  <Override PartName="/word/media/image142.jpeg" ContentType="image/jpeg"/>
  <Override PartName="/word/media/image168.jpeg" ContentType="image/jpeg"/>
  <Override PartName="/word/media/image151.jpeg" ContentType="image/jpeg"/>
  <Override PartName="/word/media/image143.jpeg" ContentType="image/jpeg"/>
  <Override PartName="/word/media/image169.jpeg" ContentType="image/jpeg"/>
  <Override PartName="/word/media/image152.jpeg" ContentType="image/jpeg"/>
  <Override PartName="/word/media/image53.jpeg" ContentType="image/jpeg"/>
  <Override PartName="/word/media/image149.jpeg" ContentType="image/jpeg"/>
  <Override PartName="/word/media/image170.jpeg" ContentType="image/jpeg"/>
  <Override PartName="/word/media/image157.jpeg" ContentType="image/jpeg"/>
  <Override PartName="/word/media/image61.jpeg" ContentType="image/jpeg"/>
  <Override PartName="/word/media/image78.jpeg" ContentType="image/jpeg"/>
  <Override PartName="/word/media/image129.jpeg" ContentType="image/jpeg"/>
  <Override PartName="/word/media/image155.jpeg" ContentType="image/jpeg"/>
  <Override PartName="/word/media/image128.jpeg" ContentType="image/jpeg"/>
  <Override PartName="/word/media/image154.jpeg" ContentType="image/jpeg"/>
  <Override PartName="/word/media/image153.jpeg" ContentType="image/jpeg"/>
  <Override PartName="/word/media/image146.jpeg" ContentType="image/jpeg"/>
  <Override PartName="/word/media/image160.gif" ContentType="image/gif"/>
  <Override PartName="/word/media/image171.jpeg" ContentType="image/jpeg"/>
  <Override PartName="/word/media/image145.jpeg" ContentType="image/jpeg"/>
  <Override PartName="/word/media/image33.jpeg" ContentType="image/jpeg"/>
  <Override PartName="/word/media/image32.jpeg" ContentType="image/jpeg"/>
  <Override PartName="/word/media/image31.jpeg" ContentType="image/jpeg"/>
  <Override PartName="/word/media/image30.jpeg" ContentType="image/jpeg"/>
  <Override PartName="/word/media/image9.jpeg" ContentType="image/jpeg"/>
  <Override PartName="/word/media/image11.jpeg" ContentType="image/jpeg"/>
  <Override PartName="/word/media/image28.jpeg" ContentType="image/jpeg"/>
  <Override PartName="/word/media/image87.jpeg" ContentType="image/jpeg"/>
  <Override PartName="/word/media/image107.jpeg" ContentType="image/jpeg"/>
  <Override PartName="/word/media/image40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27.jpeg" ContentType="image/jpeg"/>
  <Override PartName="/word/media/image86.jpeg" ContentType="image/jpeg"/>
  <Override PartName="/word/media/image106.jpeg" ContentType="image/jpeg"/>
  <Override PartName="/word/media/image60.jpeg" ContentType="image/jpeg"/>
  <Override PartName="/word/media/image77.jpeg" ContentType="image/jpeg"/>
  <Override PartName="/word/media/image156.jpeg" ContentType="image/jpeg"/>
  <Override PartName="/word/media/image37.gif" ContentType="image/gif"/>
  <Override PartName="/word/media/image25.jpeg" ContentType="image/jpeg"/>
  <Override PartName="/word/media/image84.jpeg" ContentType="image/jpeg"/>
  <Override PartName="/word/media/image104.jpeg" ContentType="image/jpeg"/>
  <Override PartName="/word/media/image29.jpeg" ContentType="image/jpeg"/>
  <Override PartName="/word/media/image12.jpeg" ContentType="image/jpeg"/>
  <Override PartName="/word/media/image88.jpeg" ContentType="image/jpeg"/>
  <Override PartName="/word/media/image108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26.jpeg" ContentType="image/jpeg"/>
  <Override PartName="/word/media/image85.jpeg" ContentType="image/jpeg"/>
  <Override PartName="/word/media/image105.jpeg" ContentType="image/jpeg"/>
  <Override PartName="/word/media/image4.jpeg" ContentType="image/jpeg"/>
  <Override PartName="/word/media/image3.jpeg" ContentType="image/jpeg"/>
  <Override PartName="/word/media/image24.jpeg" ContentType="image/jpeg"/>
  <Override PartName="/word/media/image83.jpeg" ContentType="image/jpeg"/>
  <Override PartName="/word/media/image103.jpeg" ContentType="image/jpeg"/>
  <Override PartName="/word/media/image36.jpeg" ContentType="image/jpeg"/>
  <Override PartName="/word/media/image2.jpeg" ContentType="image/jpeg"/>
  <Override PartName="/word/media/image23.jpeg" ContentType="image/jpeg"/>
  <Override PartName="/word/media/image82.jpeg" ContentType="image/jpeg"/>
  <Override PartName="/word/media/image102.jpeg" ContentType="image/jpeg"/>
  <Override PartName="/word/media/image119.jpeg" ContentType="image/jpeg"/>
  <Override PartName="/word/media/image35.jpeg" ContentType="image/jpeg"/>
  <Override PartName="/word/media/image1.jpeg" ContentType="image/jpeg"/>
  <Override PartName="/word/media/image89.jpeg" ContentType="image/jpeg"/>
  <Override PartName="/word/media/image22.jpeg" ContentType="image/jpeg"/>
  <Override PartName="/word/media/image81.jpeg" ContentType="image/jpeg"/>
  <Override PartName="/word/media/image101.jpeg" ContentType="image/jpeg"/>
  <Override PartName="/word/media/image118.jpeg" ContentType="image/jpeg"/>
  <Override PartName="/word/media/image41.jpeg" ContentType="image/jpeg"/>
  <Override PartName="/word/media/image120.jpeg" ContentType="image/jpeg"/>
  <Override PartName="/word/media/image14.jpeg" ContentType="image/jpeg"/>
  <Override PartName="/word/media/image15.jpeg" ContentType="image/jpeg"/>
  <Override PartName="/word/media/image109.jpeg" ContentType="image/jpeg"/>
  <Override PartName="/word/media/image20.jpeg" ContentType="image/jpeg"/>
  <Override PartName="/word/media/image116.jpeg" ContentType="image/jpeg"/>
  <Override PartName="/word/media/image21.jpeg" ContentType="image/jpeg"/>
  <Override PartName="/word/media/image80.jpeg" ContentType="image/jpeg"/>
  <Override PartName="/word/media/image100.jpeg" ContentType="image/jpeg"/>
  <Override PartName="/word/media/image117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SCHEDULE 14A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(Rule 14a-101)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INFORMATION REQUIRED IN 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SCHEDULE 14A INFORMATION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Proxy Statement Pursuant to Section 14(a) of the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Securities Exchange Act of 1934 (Amendment No.)</w:t>
      </w:r>
    </w:p>
    <w:tbl>
      <w:tblPr>
        <w:tblW w:w="40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21"/>
      </w:tblGrid>
      <w:tr>
        <w:trPr/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Filed by the Registrant </w:t>
            </w:r>
            <w:r>
              <w:rPr>
                <w:caps w:val="false"/>
                <w:smallCaps w:val="false"/>
              </w:rPr>
              <w:t>☒</w:t>
            </w:r>
          </w:p>
        </w:tc>
      </w:tr>
      <w:tr>
        <w:trPr/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Filed by a Party other than the Registrant </w:t>
            </w:r>
            <w:r>
              <w:rPr>
                <w:caps w:val="false"/>
                <w:smallCaps w:val="false"/>
              </w:rPr>
              <w:t>☐</w:t>
            </w:r>
          </w:p>
        </w:tc>
      </w:tr>
    </w:tbl>
    <w:tbl>
      <w:tblPr>
        <w:tblW w:w="78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753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6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Check the appropriate box: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7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Preliminary Proxy Statement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7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7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Definitive Proxy Statement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7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Definitive Additional Materials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7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Soliciting Material Under §240.14a-12</w:t>
            </w:r>
          </w:p>
        </w:tc>
      </w:tr>
    </w:tbl>
    <w:tbl>
      <w:tblPr>
        <w:tblW w:w="54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61"/>
      </w:tblGrid>
      <w:tr>
        <w:trPr/>
        <w:tc>
          <w:tcPr>
            <w:tcW w:w="5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32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32"/>
              </w:rPr>
              <w:t>Prestige Consumer Healthcare Inc.</w:t>
            </w:r>
          </w:p>
        </w:tc>
      </w:tr>
      <w:tr>
        <w:trPr/>
        <w:tc>
          <w:tcPr>
            <w:tcW w:w="54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(Name of Registrant as Specified in Its Charter)</w:t>
            </w:r>
          </w:p>
        </w:tc>
      </w:tr>
      <w:tr>
        <w:trPr/>
        <w:tc>
          <w:tcPr>
            <w:tcW w:w="54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(Name of Person(s) Filing Proxy Statement, if Other Than the Registrant)</w:t>
            </w:r>
          </w:p>
        </w:tc>
      </w:tr>
    </w:tbl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92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5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Payment of Filing Fee (Check all boxes that apply):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89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No fee required.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9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9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543800" cy="98298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i-1"/>
      <w:bookmarkEnd w:id="0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543800" cy="98298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i-2"/>
      <w:bookmarkEnd w:id="1"/>
    </w:p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24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 xml:space="preserve">MESSAGE FROM OUR CHAIR </w:t>
      </w: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AND CEO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7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7021"/>
        <w:gridCol w:w="2462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2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08760" cy="130048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60" cy="1300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" w:name="i-3"/>
            <w:bookmarkEnd w:id="2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Fiscal 2026 showcased both the resilience of our three-pillar strategy and our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100330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" w:name="i-4"/>
            <w:bookmarkEnd w:id="3"/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commitment to building long-term shareholder value even against a challenging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backdrop. Executing our strategy is an entire organization that continues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operate at the highest level of excellence thanks to our guiding principles of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Leadership, Trust, Change, and Execution.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660" cy="10033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" w:name="i-5"/>
            <w:bookmarkEnd w:id="4"/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Ronald M. Lombardi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President, Chief Executive Officer and Chair of the Board</w:t>
            </w:r>
          </w:p>
        </w:tc>
        <w:tc>
          <w:tcPr>
            <w:tcW w:w="2462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2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Dear Stockholder: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Fiscal 2026 was a defining year for Prestige Consumer Healthcare - one that showcased both the resilience of our three-pillar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strategy and our commitment to building long-term shareholder value. Against a backdrop of macroeconomic volatility,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geopolitical uncertainty, and supply chain disruptions in our eye care business, we remained steadfast in our strategic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priorities. We invested behind our brands, grew free cash flow, and executed the most significant capital deployment in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company’s history with the acquisition of Breathe Right® - a transaction that will meaningfully expand our platform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accelerate our growth trajectory.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These accomplishments reflect the discipline and consistency of our operating model, which is anchored by three core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strategic priorities: leading brand-building, maintaining a strong financial profile, and disciplined capital allocation.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are excited about the ongoing evolution of our business and the ability to continue creating value for you,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shareholders. On behalf of our management team and board of directors, I thank you for your confidence in Prestige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appreciate your continued support and commitment to the Company.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look forward to seeing you at the 2026 Annual Meeting of Stockholders.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Sincerely,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554480" cy="327660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32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" w:name="i-6"/>
      <w:bookmarkEnd w:id="5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  <w:t>Ronald M. Lombardi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President, Chief Executive Officer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Chair of the Board </w:t>
      </w:r>
    </w:p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109"/>
        <w:gridCol w:w="1726"/>
        <w:gridCol w:w="2881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21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 xml:space="preserve">NOTICE OF ANNUAL MEETING </w:t>
      </w: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 xml:space="preserve">OF STOCKHOLDERS 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To Our Stockholders: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>The 2026 Annual Meeting of Stockholders of Prestige Consumer Healthcare Inc. will be held:</w:t>
      </w:r>
    </w:p>
    <w:tbl>
      <w:tblPr>
        <w:tblW w:w="89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3"/>
        <w:gridCol w:w="1921"/>
        <w:gridCol w:w="446"/>
        <w:gridCol w:w="2026"/>
        <w:gridCol w:w="662"/>
        <w:gridCol w:w="3331"/>
      </w:tblGrid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" w:name="i-7"/>
            <w:bookmarkEnd w:id="6"/>
          </w:p>
        </w:tc>
        <w:tc>
          <w:tcPr>
            <w:tcW w:w="1921" w:type="dxa"/>
            <w:tcBorders>
              <w:right w:val="single" w:sz="4" w:space="0" w:color="1B365D"/>
            </w:tcBorders>
            <w:shd w:fill="EDEFF2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When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Tuesday, August 4, 2026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10:00 a.m. (Eastern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Daylight Time)</w:t>
            </w:r>
          </w:p>
        </w:tc>
        <w:tc>
          <w:tcPr>
            <w:tcW w:w="446" w:type="dxa"/>
            <w:tcBorders>
              <w:left w:val="single" w:sz="4" w:space="0" w:color="1B365D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6225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6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" w:name="i-8"/>
            <w:bookmarkEnd w:id="7"/>
          </w:p>
        </w:tc>
        <w:tc>
          <w:tcPr>
            <w:tcW w:w="2026" w:type="dxa"/>
            <w:tcBorders>
              <w:right w:val="single" w:sz="4" w:space="0" w:color="1B365D"/>
            </w:tcBorders>
            <w:shd w:fill="EDEFF2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Where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At the Company’s offices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660 White Plains Road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Tarrytown, New York 10591</w:t>
            </w:r>
          </w:p>
        </w:tc>
        <w:tc>
          <w:tcPr>
            <w:tcW w:w="662" w:type="dxa"/>
            <w:tcBorders>
              <w:left w:val="single" w:sz="4" w:space="0" w:color="1B365D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2540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25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" w:name="i-9"/>
            <w:bookmarkEnd w:id="8"/>
          </w:p>
        </w:tc>
        <w:tc>
          <w:tcPr>
            <w:tcW w:w="33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Who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Only stockholders of record at the close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business on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>June 10, 2026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will be entitled to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vote at the Annual Meeting.</w:t>
            </w:r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Items of Business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7695"/>
        <w:gridCol w:w="1551"/>
        <w:gridCol w:w="593"/>
        <w:gridCol w:w="155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06" w:type="dxa"/>
            <w:gridSpan w:val="2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2"/>
                <w:u w:val="none"/>
                <w:effect w:val="none"/>
              </w:rPr>
              <w:t>Proposal</w:t>
            </w:r>
          </w:p>
        </w:tc>
        <w:tc>
          <w:tcPr>
            <w:tcW w:w="1551" w:type="dxa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2"/>
                <w:u w:val="none"/>
                <w:effect w:val="none"/>
              </w:rPr>
              <w:t>Board’s Recommendation</w:t>
            </w:r>
          </w:p>
        </w:tc>
        <w:tc>
          <w:tcPr>
            <w:tcW w:w="593" w:type="dxa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2"/>
                <w:u w:val="none"/>
                <w:effect w:val="none"/>
              </w:rPr>
              <w:t>See Page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06" w:type="dxa"/>
            <w:gridSpan w:val="2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51" w:type="dxa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3" w:type="dxa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5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1</w:t>
            </w:r>
          </w:p>
        </w:tc>
        <w:tc>
          <w:tcPr>
            <w:tcW w:w="7695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Elect the six directors nominated by the Board of Directors and named in the accompanying Proxy Statement to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serve until the 2027 Annual Meeting of Stockholders or until their earlier death, removal or resignation</w:t>
            </w:r>
          </w:p>
        </w:tc>
        <w:tc>
          <w:tcPr>
            <w:tcW w:w="15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FOR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each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" w:name="i-10"/>
            <w:bookmarkEnd w:id="9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director nominee</w:t>
            </w:r>
          </w:p>
        </w:tc>
        <w:tc>
          <w:tcPr>
            <w:tcW w:w="593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hyperlink w:anchor="ib93d044691e741419dce32abb828e2a4_5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5"/>
                  <w:u w:val="single"/>
                  <w:effect w:val="none"/>
                </w:rPr>
                <w:t>14</w:t>
              </w:r>
            </w:hyperlink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2</w:t>
            </w:r>
          </w:p>
        </w:tc>
        <w:tc>
          <w:tcPr>
            <w:tcW w:w="76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Conduct an advisory vote to approve the compensation of our named executive officers </w:t>
            </w:r>
          </w:p>
        </w:tc>
        <w:tc>
          <w:tcPr>
            <w:tcW w:w="15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FOR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" w:name="i-11"/>
            <w:bookmarkEnd w:id="10"/>
          </w:p>
        </w:tc>
        <w:tc>
          <w:tcPr>
            <w:tcW w:w="5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hyperlink w:anchor="ib93d044691e741419dce32abb828e2a4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5"/>
                  <w:u w:val="single"/>
                  <w:effect w:val="none"/>
                </w:rPr>
                <w:t>40</w:t>
              </w:r>
            </w:hyperlink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3</w:t>
            </w:r>
          </w:p>
        </w:tc>
        <w:tc>
          <w:tcPr>
            <w:tcW w:w="7695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Ratify the appointment of PricewaterhouseCoopers LLP as the independent registered public accounting firm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Prestige Consumer Healthcare Inc. for the fiscal year ending March 31, 2027</w:t>
            </w:r>
          </w:p>
        </w:tc>
        <w:tc>
          <w:tcPr>
            <w:tcW w:w="15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FOR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" w:name="i-12"/>
            <w:bookmarkEnd w:id="11"/>
          </w:p>
        </w:tc>
        <w:tc>
          <w:tcPr>
            <w:tcW w:w="593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hyperlink w:anchor="ib93d044691e741419dce32abb828e2a4_12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5"/>
                  <w:u w:val="single"/>
                  <w:effect w:val="none"/>
                </w:rPr>
                <w:t>68</w:t>
              </w:r>
            </w:hyperlink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 xml:space="preserve">We will also conduct other business as may properly be brought before the 2026 Annual Meeting of Stockholders or any adjournment or postponement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 xml:space="preserve">thereof, including proposals to adjourn or postpone the meeting.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 xml:space="preserve">Accompanying this Notice of Annual Meeting of Stockholders is a Proxy Statement, related proxy card with a postage paid return envelope, and our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 xml:space="preserve">Annual Report for our fiscal year ended March 31, 2026. The Annual Report contains financial and other information that is not incorporated into the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>Proxy Statement and is not deemed to be a part of the proxy soliciting material.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How to Vote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Stockholders of Record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 xml:space="preserve">Have your proxy card with your 11-digit control number available and follow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>the instructions.</w:t>
      </w:r>
    </w:p>
    <w:tbl>
      <w:tblPr>
        <w:tblW w:w="58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6"/>
        <w:gridCol w:w="4710"/>
        <w:gridCol w:w="645"/>
      </w:tblGrid>
      <w:tr>
        <w:trPr/>
        <w:tc>
          <w:tcPr>
            <w:tcW w:w="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178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" w:name="i-13"/>
            <w:bookmarkEnd w:id="12"/>
          </w:p>
        </w:tc>
        <w:tc>
          <w:tcPr>
            <w:tcW w:w="4710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By Internet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Visit, 24/7,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A6192E"/>
                <w:sz w:val="18"/>
                <w:u w:val="single"/>
              </w:rPr>
              <w:t>www.proxyvote.com/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and follow the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on-screen instructions or scan the QR code with your smartphone</w:t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20040" cy="31559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315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" w:name="i-14"/>
            <w:bookmarkEnd w:id="13"/>
          </w:p>
        </w:tc>
      </w:tr>
      <w:tr>
        <w:trPr/>
        <w:tc>
          <w:tcPr>
            <w:tcW w:w="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193040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9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" w:name="i-15"/>
            <w:bookmarkEnd w:id="14"/>
          </w:p>
        </w:tc>
        <w:tc>
          <w:tcPr>
            <w:tcW w:w="53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By Mail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Complete, date and sign your proxy card and send by mail in the enclosed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postage-paid envelope </w:t>
            </w:r>
          </w:p>
        </w:tc>
      </w:tr>
      <w:tr>
        <w:trPr/>
        <w:tc>
          <w:tcPr>
            <w:tcW w:w="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6225" cy="265430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65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" w:name="i-16"/>
            <w:bookmarkEnd w:id="15"/>
          </w:p>
        </w:tc>
        <w:tc>
          <w:tcPr>
            <w:tcW w:w="53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By Telephone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Call 1-800-690-6903</w:t>
            </w:r>
          </w:p>
        </w:tc>
      </w:tr>
      <w:tr>
        <w:trPr/>
        <w:tc>
          <w:tcPr>
            <w:tcW w:w="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16954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6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" w:name="i-17"/>
            <w:bookmarkEnd w:id="16"/>
          </w:p>
        </w:tc>
        <w:tc>
          <w:tcPr>
            <w:tcW w:w="53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In Person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Attend the Annual Meeting and cast your ballot </w:t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 xml:space="preserve">The deadline to vote electronically or by telephone is 11:59 p.m. Eastern Daylight Time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 xml:space="preserve">on August 3, 2026. If you vote electronically, you do not need to return a proxy card. If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 xml:space="preserve">you return your proxy card, it must be received by Vote Processing, c/o Broadridge, 51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 xml:space="preserve">Mercedes Way, Edgewood, NY 11717, by 5:00 p.m., Eastern Daylight Time, on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5"/>
        </w:rPr>
        <w:t>August 3, 2026.</w:t>
      </w:r>
    </w:p>
    <w:tbl>
      <w:tblPr>
        <w:tblW w:w="40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3"/>
        <w:gridCol w:w="113"/>
        <w:gridCol w:w="3587"/>
        <w:gridCol w:w="160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3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Beneficial Owners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If your shares are held in “street name,” your bank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or brokerage firm forwarded these proxy materials, as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well as a voting instruction card, to you. Please follow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the instructions on the voting instruction card to vote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your shares.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Beneficial owners who hold shares in “street name”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and who wish to vote in person at the Annual Meeting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must bring a power of attorney or legal proxy from their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bank, broker or other nominee.</w:t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7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This Proxy Statement and the proxy card are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first being mailed or given to stockholders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on or about June 29, 2026.</w:t>
            </w:r>
          </w:p>
        </w:tc>
        <w:tc>
          <w:tcPr>
            <w:tcW w:w="160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24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9927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Whether or not you expect to attend the Annual Meeting in person, please promptly complete, sign, date and mail the enclosed proxy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card, or vote by the internet or telephone according to the instructions on your proxy card. A self-addressed postage paid return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envelope is enclosed for your convenience. No postage is required if mailed in the United States. If you do attend the Annual Meeting,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you may withdraw your proxy should you wish to vote in person. You may revoke your proxy by following the instructions on page </w:t>
            </w:r>
            <w:hyperlink w:anchor="i62aebfebee754a08b806b2b8b8121689_1088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5"/>
                  <w:u w:val="single"/>
                  <w:effect w:val="none"/>
                </w:rPr>
                <w:t>77</w:t>
              </w:r>
            </w:hyperlink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of the proxy statement.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If you own shares in a brokerage account, your bank or brokerage firm forwarded these proxy materials, as well as a voting instruction card, to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you. Please follow the instructions on the voting instruction card to vote your shares. Your broker cannot vote your shares for proposals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regarding the election of our directors and approval of the compensation of our named executive officers unless you provide voting instructions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to your broker. Therefore, it is very important that you exercise your right as a stockholder and vote on all proposals.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109"/>
        <w:gridCol w:w="1726"/>
        <w:gridCol w:w="2881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21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TABLE OF CONTENTS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0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342"/>
        <w:gridCol w:w="3033"/>
        <w:gridCol w:w="28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2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Company Highlights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2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6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2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About Us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2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6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2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Strategy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2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6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3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Performance Highlights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3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7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Corporate Responsibility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8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3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Proxy Summary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3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10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4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Voting Matters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4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10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Election of Directors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10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2026 Executive Compensation Overview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12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4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Board and Governance Matters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4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14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2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24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2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24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" w:name="i-18"/>
            <w:bookmarkEnd w:id="17"/>
          </w:p>
        </w:tc>
        <w:tc>
          <w:tcPr>
            <w:tcW w:w="30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5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Proposal 1: Election of Directors</w:t>
              </w:r>
            </w:hyperlink>
          </w:p>
        </w:tc>
        <w:tc>
          <w:tcPr>
            <w:tcW w:w="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5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14</w:t>
              </w:r>
            </w:hyperlink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2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24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5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Board Skills and Qualifications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5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15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5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Director Biographies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5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17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6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Director Independence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6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21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6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Conditional Resignation Policy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6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21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Director Nomination Process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22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7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 xml:space="preserve">Our Governance 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7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24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Corporate Governance Highlights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24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Board Leadership Structure and Composition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25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The Board’s Role and Responsibilities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30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Risk Oversight and Risk Management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31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Director Engagement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33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Other Governance Policies and Practices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35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91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Director Compensation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91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36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9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Overview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9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36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9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Director Compensation in 2026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9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37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0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Our Executive Officers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0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38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302"/>
        <w:gridCol w:w="3931"/>
        <w:gridCol w:w="28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0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Executive Compensation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0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40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2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24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2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24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" w:name="i-19"/>
            <w:bookmarkEnd w:id="18"/>
          </w:p>
        </w:tc>
        <w:tc>
          <w:tcPr>
            <w:tcW w:w="3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0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 xml:space="preserve">Proposal 2: Advisory Vote to Approve Named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0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Executive Officer Compensation</w:t>
              </w:r>
            </w:hyperlink>
          </w:p>
        </w:tc>
        <w:tc>
          <w:tcPr>
            <w:tcW w:w="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0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40</w:t>
              </w:r>
            </w:hyperlink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2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24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Compensation Discussion and Analysis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41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1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Compensation and Talent Committee Report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1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57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1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Executive Compensation Tables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1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58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1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CEO Pay Ratio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1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64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2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Pay Versus Performance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2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65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2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Audit Matters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2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68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2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24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2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24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" w:name="i-20"/>
            <w:bookmarkEnd w:id="19"/>
          </w:p>
        </w:tc>
        <w:tc>
          <w:tcPr>
            <w:tcW w:w="3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2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 xml:space="preserve">Proposal 3: Ratification of Appointment of the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2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Independent Registered Public Accounting Firm</w:t>
              </w:r>
            </w:hyperlink>
          </w:p>
        </w:tc>
        <w:tc>
          <w:tcPr>
            <w:tcW w:w="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2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68</w:t>
              </w:r>
            </w:hyperlink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3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Selection and Engagement of Auditors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3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69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3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Audit and Non-Audit Fees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3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69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3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Pre-Approval of Audit and Non-Audit Services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3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69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3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Report of the Audit and Finance Committee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3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70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4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Security Ownership Information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4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72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4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 xml:space="preserve">Securities Ownership of Certain Beneficial Owners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4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and Management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4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72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5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Equity Compensation Plan Information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5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74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5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Information About the Annual Meeting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5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75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5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General Information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5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75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6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Voting Matters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6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76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6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Other Matters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6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79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6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Certain Relationships and Related Transactions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6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79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6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 xml:space="preserve">Submission of Stockholder Proposals and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6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Director Nominations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6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80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7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Form 10-K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7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80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78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Appendix A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78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6"/>
                  <w:u w:val="single"/>
                  <w:effect w:val="none"/>
                </w:rPr>
                <w:t>82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8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About Non-GAAP Financial Measures</w:t>
              </w:r>
            </w:hyperlink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b93d044691e741419dce32abb828e2a4_18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6"/>
                  <w:u w:val="single"/>
                  <w:effect w:val="none"/>
                </w:rPr>
                <w:t>82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24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05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978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IMPORTANT NOTICE REGARDING THE AVAILABILITY OF PROXY MATERIALS FOR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STOCKHOLDERS MEETING TO BE HELD ON AUGUST 4, 2026: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This Proxy Statement, the Proxy Card and the 2026 Annual Report to Stockholders are available at the “Investors” tab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of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A6192E"/>
                <w:sz w:val="18"/>
                <w:u w:val="single"/>
              </w:rPr>
              <w:t>www.prestigeconsumerhealthcare.com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, our internet website.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You can submit a request for a copy of the proxy statement, annual report and form of proxy for any future stockholder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meetings (including the meeting of stockholders to be held on August 4, 2026) to 1-800-831-7105, (Attention: Investor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Relations),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A6192E"/>
                <w:sz w:val="18"/>
                <w:u w:val="single"/>
              </w:rPr>
              <w:t>proxy@prestigebrands.com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or the “contact us” tab at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A6192E"/>
                <w:sz w:val="18"/>
                <w:u w:val="single"/>
              </w:rPr>
              <w:t>www.prestigeconsumerhealthcare.com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You can also contact us at the phone number, e-mail address and website set forth above to request directions to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location of the Annual Meeting of Stockholders so that you may attend the meeting and vote in person.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Forward-Looking Statements: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This Proxy Statement contains “forward-looking statements” within the meaning of the federal securities laws.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"Forward-looking statements" generally can be identified by the use of forward-looking terminology such as “focus,”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“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committed,” “growing,” “goal,” "may," "will," "would," “plan,” or "continue" (or the negative or other derivatives of each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of these terms) or similar terminology. The "forward-looking statements" include, without limitation, statements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regarding the impact of the Breathe Right® acquisition; the Company's future operating results including revenues,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organic growth, adjusted diluted earnings per share, and free cash flow; the strength of the Company’s financial profile,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improvements in eye care supply from the acquisition of our key supplier; the timing of the closing of acquisitions;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Company’s focus on environmental sustainability, social responsibility, corporate governance and innovation;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impact of volatile markets on consumer spending; the timing of the Company’s return to historical leverage; and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Company’s ability to manage and mitigate energy costs; and the Company’s ability to create shareholder value. These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statements are based on management's estimates and assumptions with respect to future events and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performance and are believed to be reasonable, though are inherently uncertain and difficult to predict. Actual results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could differ materially from those expected as a result of a variety of factors, including the impact of business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economic conditions, including as a result of evolving U.S. and international tariffs and trade actions, labor shortages,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inflation and geopolitical instability, consumer trends, the impact of the Company’s advertising and marketing and new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product development initiatives, customer inventory management initiatives, fluctuating foreign exchange rates,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competitive pressures, and the ability of the Company’s manufacturing operations and third party manufacturers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logistics providers and suppliers to meet demand for its products and to avoid inflationary cost increases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disruption. A discussion of factors that could cause results to vary is included in the Company’s Annual Report on Form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10-K for the fiscal year ended March 31, 2026 and other periodic reports filed with the SEC.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109"/>
        <w:gridCol w:w="1726"/>
        <w:gridCol w:w="2881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21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COMPANY HIGHLIGHTS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About Us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Who We Are: Helping Consumers Care for Themselves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Prestige Consumer Healthcare Inc. is a New York Stock Exchange (“NYSE”) company that develops, manufactures, markets,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sells, and distributes consumer health and personal care products in the United States, Canada, Australia, and certain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international markets. Headquartered in Tarrytown, New York, and operating with approximately 890 employees out of sites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across the United States, Canada, Australia, Asia, and the United Kingdom, our portfolio consists of numerous well-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recognized, brand-name, consumer healthcare products including:</w:t>
      </w:r>
    </w:p>
    <w:tbl>
      <w:tblPr>
        <w:tblW w:w="91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0"/>
        <w:gridCol w:w="1857"/>
        <w:gridCol w:w="1972"/>
        <w:gridCol w:w="1800"/>
        <w:gridCol w:w="1744"/>
      </w:tblGrid>
      <w:tr>
        <w:trPr/>
        <w:tc>
          <w:tcPr>
            <w:tcW w:w="18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0" w:type="dxa"/>
            <w:tcBorders>
              <w:bottom w:val="single" w:sz="4" w:space="0" w:color="E7E9EA"/>
              <w:right w:val="single" w:sz="4" w:space="0" w:color="E7E9EA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87095" cy="620395"/>
                  <wp:effectExtent l="0" t="0" r="0" b="0"/>
                  <wp:docPr id="21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095" cy="6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" w:name="i-21"/>
            <w:bookmarkEnd w:id="20"/>
          </w:p>
        </w:tc>
        <w:tc>
          <w:tcPr>
            <w:tcW w:w="1857" w:type="dxa"/>
            <w:tcBorders>
              <w:left w:val="single" w:sz="4" w:space="0" w:color="E7E9EA"/>
              <w:bottom w:val="single" w:sz="4" w:space="0" w:color="E7E9EA"/>
              <w:right w:val="single" w:sz="4" w:space="0" w:color="E7E9EA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24585" cy="481330"/>
                  <wp:effectExtent l="0" t="0" r="0" b="0"/>
                  <wp:docPr id="22" name="Image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585" cy="48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" w:name="i-22"/>
            <w:bookmarkEnd w:id="21"/>
          </w:p>
        </w:tc>
        <w:tc>
          <w:tcPr>
            <w:tcW w:w="1972" w:type="dxa"/>
            <w:tcBorders>
              <w:left w:val="single" w:sz="4" w:space="0" w:color="E7E9EA"/>
              <w:bottom w:val="single" w:sz="4" w:space="0" w:color="E7E9EA"/>
              <w:right w:val="single" w:sz="4" w:space="0" w:color="E7E9EA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97610" cy="366395"/>
                  <wp:effectExtent l="0" t="0" r="0" b="0"/>
                  <wp:docPr id="23" name="Image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610" cy="36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" w:name="i-23"/>
            <w:bookmarkEnd w:id="22"/>
          </w:p>
        </w:tc>
        <w:tc>
          <w:tcPr>
            <w:tcW w:w="1800" w:type="dxa"/>
            <w:tcBorders>
              <w:left w:val="single" w:sz="4" w:space="0" w:color="E7E9EA"/>
              <w:bottom w:val="single" w:sz="4" w:space="0" w:color="E7E9EA"/>
              <w:right w:val="single" w:sz="4" w:space="0" w:color="E7E9EA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673100"/>
                  <wp:effectExtent l="0" t="0" r="0" b="0"/>
                  <wp:docPr id="24" name="Image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" w:name="i-24"/>
            <w:bookmarkEnd w:id="23"/>
          </w:p>
        </w:tc>
        <w:tc>
          <w:tcPr>
            <w:tcW w:w="1744" w:type="dxa"/>
            <w:tcBorders>
              <w:left w:val="single" w:sz="4" w:space="0" w:color="E7E9EA"/>
              <w:bottom w:val="single" w:sz="4" w:space="0" w:color="E7E9EA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87425" cy="374650"/>
                  <wp:effectExtent l="0" t="0" r="0" b="0"/>
                  <wp:docPr id="25" name="Image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" w:name="i-25"/>
            <w:bookmarkEnd w:id="24"/>
          </w:p>
        </w:tc>
      </w:tr>
      <w:tr>
        <w:trPr/>
        <w:tc>
          <w:tcPr>
            <w:tcW w:w="1800" w:type="dxa"/>
            <w:tcBorders>
              <w:top w:val="single" w:sz="4" w:space="0" w:color="E7E9EA"/>
              <w:bottom w:val="single" w:sz="4" w:space="0" w:color="E7E9EA"/>
              <w:right w:val="single" w:sz="4" w:space="0" w:color="E7E9EA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78865" cy="262890"/>
                  <wp:effectExtent l="0" t="0" r="0" b="0"/>
                  <wp:docPr id="26" name="Image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" w:name="i-26"/>
            <w:bookmarkEnd w:id="25"/>
          </w:p>
        </w:tc>
        <w:tc>
          <w:tcPr>
            <w:tcW w:w="1857" w:type="dxa"/>
            <w:tcBorders>
              <w:top w:val="single" w:sz="4" w:space="0" w:color="E7E9EA"/>
              <w:left w:val="single" w:sz="4" w:space="0" w:color="E7E9EA"/>
              <w:bottom w:val="single" w:sz="4" w:space="0" w:color="E7E9EA"/>
              <w:right w:val="single" w:sz="4" w:space="0" w:color="E7E9EA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24255" cy="361950"/>
                  <wp:effectExtent l="0" t="0" r="0" b="0"/>
                  <wp:docPr id="27" name="Image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" w:name="i-27"/>
            <w:bookmarkEnd w:id="26"/>
          </w:p>
        </w:tc>
        <w:tc>
          <w:tcPr>
            <w:tcW w:w="1972" w:type="dxa"/>
            <w:tcBorders>
              <w:top w:val="single" w:sz="4" w:space="0" w:color="E7E9EA"/>
              <w:left w:val="single" w:sz="4" w:space="0" w:color="E7E9EA"/>
              <w:bottom w:val="single" w:sz="4" w:space="0" w:color="E7E9EA"/>
              <w:right w:val="single" w:sz="4" w:space="0" w:color="E7E9EA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24255" cy="203200"/>
                  <wp:effectExtent l="0" t="0" r="0" b="0"/>
                  <wp:docPr id="28" name="Image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20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" w:name="i-28"/>
            <w:bookmarkEnd w:id="27"/>
          </w:p>
        </w:tc>
        <w:tc>
          <w:tcPr>
            <w:tcW w:w="1800" w:type="dxa"/>
            <w:tcBorders>
              <w:top w:val="single" w:sz="4" w:space="0" w:color="E7E9EA"/>
              <w:left w:val="single" w:sz="4" w:space="0" w:color="E7E9EA"/>
              <w:bottom w:val="single" w:sz="4" w:space="0" w:color="E7E9EA"/>
              <w:right w:val="single" w:sz="4" w:space="0" w:color="E7E9EA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78865" cy="410845"/>
                  <wp:effectExtent l="0" t="0" r="0" b="0"/>
                  <wp:docPr id="29" name="Image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41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" w:name="i-29"/>
            <w:bookmarkEnd w:id="28"/>
          </w:p>
        </w:tc>
        <w:tc>
          <w:tcPr>
            <w:tcW w:w="1744" w:type="dxa"/>
            <w:tcBorders>
              <w:top w:val="single" w:sz="4" w:space="0" w:color="E7E9EA"/>
              <w:left w:val="single" w:sz="4" w:space="0" w:color="E7E9EA"/>
              <w:bottom w:val="single" w:sz="4" w:space="0" w:color="E7E9EA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05840" cy="348615"/>
                  <wp:effectExtent l="0" t="0" r="0" b="0"/>
                  <wp:docPr id="30" name="Image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348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" w:name="i-30"/>
            <w:bookmarkEnd w:id="29"/>
          </w:p>
        </w:tc>
      </w:tr>
      <w:tr>
        <w:trPr/>
        <w:tc>
          <w:tcPr>
            <w:tcW w:w="1800" w:type="dxa"/>
            <w:tcBorders>
              <w:top w:val="single" w:sz="4" w:space="0" w:color="E7E9EA"/>
              <w:bottom w:val="single" w:sz="4" w:space="0" w:color="E7E9EA"/>
              <w:right w:val="single" w:sz="4" w:space="0" w:color="E7E9EA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24255" cy="311785"/>
                  <wp:effectExtent l="0" t="0" r="0" b="0"/>
                  <wp:docPr id="31" name="Image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31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" w:name="i-31"/>
            <w:bookmarkEnd w:id="30"/>
          </w:p>
        </w:tc>
        <w:tc>
          <w:tcPr>
            <w:tcW w:w="1857" w:type="dxa"/>
            <w:tcBorders>
              <w:top w:val="single" w:sz="4" w:space="0" w:color="E7E9EA"/>
              <w:left w:val="single" w:sz="4" w:space="0" w:color="E7E9EA"/>
              <w:bottom w:val="single" w:sz="4" w:space="0" w:color="E7E9EA"/>
              <w:right w:val="single" w:sz="4" w:space="0" w:color="E7E9EA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24585" cy="400050"/>
                  <wp:effectExtent l="0" t="0" r="0" b="0"/>
                  <wp:docPr id="32" name="Image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58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" w:name="i-32"/>
            <w:bookmarkEnd w:id="31"/>
          </w:p>
        </w:tc>
        <w:tc>
          <w:tcPr>
            <w:tcW w:w="1972" w:type="dxa"/>
            <w:tcBorders>
              <w:top w:val="single" w:sz="4" w:space="0" w:color="E7E9EA"/>
              <w:left w:val="single" w:sz="4" w:space="0" w:color="E7E9EA"/>
              <w:bottom w:val="single" w:sz="4" w:space="0" w:color="E7E9EA"/>
              <w:right w:val="single" w:sz="4" w:space="0" w:color="E7E9EA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8720" cy="147955"/>
                  <wp:effectExtent l="0" t="0" r="0" b="0"/>
                  <wp:docPr id="33" name="Image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4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2" w:name="i-33"/>
            <w:bookmarkEnd w:id="32"/>
          </w:p>
        </w:tc>
        <w:tc>
          <w:tcPr>
            <w:tcW w:w="1800" w:type="dxa"/>
            <w:tcBorders>
              <w:top w:val="single" w:sz="4" w:space="0" w:color="E7E9EA"/>
              <w:left w:val="single" w:sz="4" w:space="0" w:color="E7E9EA"/>
              <w:bottom w:val="single" w:sz="4" w:space="0" w:color="E7E9EA"/>
              <w:right w:val="single" w:sz="4" w:space="0" w:color="E7E9EA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68350" cy="448310"/>
                  <wp:effectExtent l="0" t="0" r="0" b="0"/>
                  <wp:docPr id="34" name="Image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448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" w:name="i-34"/>
            <w:bookmarkEnd w:id="33"/>
          </w:p>
        </w:tc>
        <w:tc>
          <w:tcPr>
            <w:tcW w:w="1744" w:type="dxa"/>
            <w:tcBorders>
              <w:top w:val="single" w:sz="4" w:space="0" w:color="E7E9EA"/>
              <w:left w:val="single" w:sz="4" w:space="0" w:color="E7E9EA"/>
              <w:bottom w:val="single" w:sz="4" w:space="0" w:color="E7E9EA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24255" cy="384810"/>
                  <wp:effectExtent l="0" t="0" r="0" b="0"/>
                  <wp:docPr id="35" name="Image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4" w:name="i-35"/>
            <w:bookmarkEnd w:id="34"/>
          </w:p>
        </w:tc>
      </w:tr>
      <w:tr>
        <w:trPr/>
        <w:tc>
          <w:tcPr>
            <w:tcW w:w="1800" w:type="dxa"/>
            <w:tcBorders>
              <w:top w:val="single" w:sz="4" w:space="0" w:color="E7E9EA"/>
              <w:right w:val="single" w:sz="4" w:space="0" w:color="E7E9EA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78865" cy="244475"/>
                  <wp:effectExtent l="0" t="0" r="0" b="0"/>
                  <wp:docPr id="36" name="Image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24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" w:name="i-36"/>
            <w:bookmarkEnd w:id="35"/>
          </w:p>
        </w:tc>
        <w:tc>
          <w:tcPr>
            <w:tcW w:w="1857" w:type="dxa"/>
            <w:tcBorders>
              <w:top w:val="single" w:sz="4" w:space="0" w:color="E7E9EA"/>
              <w:left w:val="single" w:sz="4" w:space="0" w:color="E7E9EA"/>
              <w:right w:val="single" w:sz="4" w:space="0" w:color="E7E9EA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1210" cy="384175"/>
                  <wp:effectExtent l="0" t="0" r="0" b="0"/>
                  <wp:docPr id="37" name="Image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210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" w:name="i-37"/>
            <w:bookmarkEnd w:id="36"/>
          </w:p>
        </w:tc>
        <w:tc>
          <w:tcPr>
            <w:tcW w:w="1972" w:type="dxa"/>
            <w:tcBorders>
              <w:top w:val="single" w:sz="4" w:space="0" w:color="E7E9EA"/>
              <w:left w:val="single" w:sz="4" w:space="0" w:color="E7E9EA"/>
              <w:right w:val="single" w:sz="4" w:space="0" w:color="E7E9EA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68680" cy="412115"/>
                  <wp:effectExtent l="0" t="0" r="0" b="0"/>
                  <wp:docPr id="38" name="Image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" w:name="i-38"/>
            <w:bookmarkEnd w:id="37"/>
          </w:p>
        </w:tc>
        <w:tc>
          <w:tcPr>
            <w:tcW w:w="1800" w:type="dxa"/>
            <w:tcBorders>
              <w:top w:val="single" w:sz="4" w:space="0" w:color="E7E9EA"/>
              <w:left w:val="single" w:sz="4" w:space="0" w:color="E7E9EA"/>
              <w:right w:val="single" w:sz="4" w:space="0" w:color="E7E9EA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88390" cy="364490"/>
                  <wp:effectExtent l="0" t="0" r="0" b="0"/>
                  <wp:docPr id="39" name="Image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90" cy="36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" w:name="i-39"/>
            <w:bookmarkEnd w:id="38"/>
          </w:p>
        </w:tc>
        <w:tc>
          <w:tcPr>
            <w:tcW w:w="1744" w:type="dxa"/>
            <w:tcBorders>
              <w:top w:val="single" w:sz="4" w:space="0" w:color="E7E9EA"/>
              <w:left w:val="single" w:sz="4" w:space="0" w:color="E7E9EA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1520" cy="497205"/>
                  <wp:effectExtent l="0" t="0" r="0" b="0"/>
                  <wp:docPr id="40" name="Image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497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9" w:name="i-40"/>
            <w:bookmarkEnd w:id="39"/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Strategy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Proven Strategy Delivers Long-Term Performance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69"/>
        <w:gridCol w:w="941"/>
        <w:gridCol w:w="4148"/>
        <w:gridCol w:w="978"/>
        <w:gridCol w:w="978"/>
        <w:gridCol w:w="109"/>
        <w:gridCol w:w="1982"/>
      </w:tblGrid>
      <w:tr>
        <w:trPr/>
        <w:tc>
          <w:tcPr>
            <w:tcW w:w="10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7" w:type="dxa"/>
            <w:gridSpan w:val="3"/>
            <w:vMerge w:val="restart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Proven Ability to Execute Value Creation Strategy</w:t>
            </w:r>
          </w:p>
        </w:tc>
        <w:tc>
          <w:tcPr>
            <w:tcW w:w="978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9" w:type="dxa"/>
            <w:tcBorders>
              <w:top w:val="single" w:sz="4" w:space="0" w:color="546886"/>
              <w:left w:val="single" w:sz="4" w:space="0" w:color="546886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7" w:type="dxa"/>
            <w:gridSpan w:val="3"/>
            <w:vMerge w:val="continue"/>
            <w:tcBorders/>
            <w:shd w:fill="1B365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tcBorders>
              <w:top w:val="single" w:sz="4" w:space="0" w:color="546886"/>
              <w:right w:val="single" w:sz="4" w:space="0" w:color="546886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9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" w:type="dxa"/>
            <w:tcBorders>
              <w:right w:val="single" w:sz="4" w:space="0" w:color="546886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0" w:type="dxa"/>
            <w:gridSpan w:val="2"/>
            <w:tcBorders>
              <w:left w:val="single" w:sz="4" w:space="0" w:color="546886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1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Investing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Growth with Proven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Brand-Building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Playbook</w:t>
            </w:r>
          </w:p>
        </w:tc>
        <w:tc>
          <w:tcPr>
            <w:tcW w:w="4148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2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Superior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Attributes Drive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Strong Free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Cash Flow</w:t>
            </w:r>
          </w:p>
        </w:tc>
        <w:tc>
          <w:tcPr>
            <w:tcW w:w="1956" w:type="dxa"/>
            <w:gridSpan w:val="2"/>
            <w:tcBorders>
              <w:left w:val="single" w:sz="4" w:space="0" w:color="1B365D"/>
              <w:right w:val="single" w:sz="4" w:space="0" w:color="546886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3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Scalable &amp; Efficient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Platform Enables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 xml:space="preserve">Capital Allocation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Optionality</w:t>
            </w:r>
          </w:p>
        </w:tc>
        <w:tc>
          <w:tcPr>
            <w:tcW w:w="109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Revenue</w:t>
            </w:r>
          </w:p>
          <w:p>
            <w:pPr>
              <w:pStyle w:val="TableContents"/>
              <w:bidi w:val="0"/>
              <w:spacing w:lineRule="atLeast" w:line="64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4"/>
                <w:u w:val="none"/>
                <w:effect w:val="none"/>
              </w:rPr>
              <w:t>+2.9%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5-Yr CAGR</w:t>
            </w:r>
          </w:p>
        </w:tc>
      </w:tr>
      <w:tr>
        <w:trPr/>
        <w:tc>
          <w:tcPr>
            <w:tcW w:w="1069" w:type="dxa"/>
            <w:tcBorders>
              <w:left w:val="single" w:sz="4" w:space="0" w:color="546886"/>
              <w:bottom w:val="single" w:sz="4" w:space="0" w:color="54688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8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8" w:type="dxa"/>
            <w:tcBorders>
              <w:bottom w:val="single" w:sz="4" w:space="0" w:color="546886"/>
              <w:right w:val="single" w:sz="4" w:space="0" w:color="546886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24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Company Highlights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Performance Highlights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Fiscal 2026 demonstrated the resilience of our business model in a challenging consumer backdrop. We achieved strong free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cash flow growth thanks to our business strategy and the unique attributes of our portfolio. Below are just a few of the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highlights of fiscal 2026 that tie both directly and indirectly into incentive program compensation.</w:t>
      </w:r>
    </w:p>
    <w:tbl>
      <w:tblPr>
        <w:tblW w:w="85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76"/>
        <w:gridCol w:w="2701"/>
        <w:gridCol w:w="279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Top Line Trends</w:t>
            </w:r>
          </w:p>
          <w:p>
            <w:pPr>
              <w:pStyle w:val="TableContents"/>
              <w:bidi w:val="0"/>
              <w:spacing w:lineRule="atLeast" w:line="3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Revenue of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$1,089M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Organic revenue declines due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primarily to supply challenges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Eye &amp; Ear Care Category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Continued growth in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Gastrointestinal Category</w:t>
            </w:r>
          </w:p>
        </w:tc>
        <w:tc>
          <w:tcPr>
            <w:tcW w:w="2701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EPS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Adjusted Diluted EPS of </w:t>
            </w:r>
          </w:p>
          <w:p>
            <w:pPr>
              <w:pStyle w:val="TableContents"/>
              <w:bidi w:val="0"/>
              <w:spacing w:lineRule="atLeast" w:line="3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$4.38,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down approximately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3% vs. Adjusted prior year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Strong financial profile helped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to offset revenue challenges</w:t>
            </w:r>
          </w:p>
        </w:tc>
        <w:tc>
          <w:tcPr>
            <w:tcW w:w="2791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Free Cash Flow &amp; Allocation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Free Cash Flow of </w:t>
            </w:r>
          </w:p>
          <w:p>
            <w:pPr>
              <w:pStyle w:val="TableContents"/>
              <w:bidi w:val="0"/>
              <w:spacing w:lineRule="atLeast" w:line="3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approximately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$246M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Enabled fiscal 2027 acquisition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of Breathe Right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Please refer to Appendix A for a reconciliation of non-GAAP organic revenue growth, Adjusted Diluted EPS and Free Cash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Flow to our most directly comparable financial measures presented in accordance with GAAP.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TOTAL REVENUES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(In Millions)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011680" cy="1828800"/>
            <wp:effectExtent l="0" t="0" r="0" b="0"/>
            <wp:docPr id="41" name="Image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41" descr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0" w:name="i-41"/>
      <w:bookmarkEnd w:id="40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 xml:space="preserve">ADJUSTED NET INCOME PER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SHARE-DILUTED*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011680" cy="1828800"/>
            <wp:effectExtent l="0" t="0" r="0" b="0"/>
            <wp:docPr id="42" name="Image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2" descr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1" w:name="i-42"/>
      <w:bookmarkEnd w:id="41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ADJUSTED FREE CASH FLOW**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(In Millions)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011680" cy="1828800"/>
            <wp:effectExtent l="0" t="0" r="0" b="0"/>
            <wp:docPr id="43" name="Image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43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2" w:name="i-43"/>
      <w:bookmarkEnd w:id="42"/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*Adjusted net income per share-diluted is a non-GAAP financial measure and is reconciled to the reported GAAP figure in Appendix A.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**Adjusted free cash flow is a non -GAAP financial measure. Management believes free cash flow is a commonly used measure of liquidity,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indicative of cash available for debt repayment and acquisitions. Adjusted free cash flow is reconciled to GAAP Net Cash provided by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operating activities in Appendix A.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Management believes that these measures provide additional ways to view our operations and a more complete understanding of our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business than could be obtained absent this disclosure, when considered with both our GAAP results and our reconciliation thereto.</w:t>
      </w:r>
    </w:p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109"/>
        <w:gridCol w:w="1726"/>
        <w:gridCol w:w="2881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21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Company Highlights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Corporate Responsibility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Prestige Consumer Healthcare’s Board of Directors, management and employees all recognize the responsibility that comes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with selling trusted consumer healthcare brands, and the importance of integrating corporate responsibility into our operations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culture for the benefit of future generations. We are committed to building environmental sustainability, social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responsibility, and effective corporate governance into all aspects of our business. We view this as sound business strategy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that drives resiliency and long-term value creation for the benefit of all stakeholders, including our consumers, customers,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employees, investors, suppliers, regulators and the communities in which we live and operate.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 2025 sustainability report is available on our website,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https://www.prestigebrands.com/about-us/corporate-responsibility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 approach to Corporate Responsibility is based on credible frameworks and standards that create a foundation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identifying material topics, understanding our risks and opportunities, and informing our strategy.</w:t>
      </w:r>
    </w:p>
    <w:tbl>
      <w:tblPr>
        <w:tblW w:w="9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97"/>
        <w:gridCol w:w="109"/>
        <w:gridCol w:w="4831"/>
      </w:tblGrid>
      <w:tr>
        <w:trPr/>
        <w:tc>
          <w:tcPr>
            <w:tcW w:w="49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9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108960" cy="4096385"/>
                  <wp:effectExtent l="0" t="0" r="0" b="0"/>
                  <wp:docPr id="44" name="Image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960" cy="4096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3" w:name="i-44"/>
            <w:bookmarkEnd w:id="43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Our People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Our people are critical to our Company’s success. We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trust them every day to maintain safety and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excellence, uphold integrity in manufacturing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marketing, and adhere to our Company’s four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guiding principles.</w:t>
            </w:r>
          </w:p>
        </w:tc>
      </w:tr>
      <w:tr>
        <w:trPr/>
        <w:tc>
          <w:tcPr>
            <w:tcW w:w="499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9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Our Community &amp; Consumers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Prestige’s commitment to responsible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citizenship extends beyond our employees and into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 lives of our communities and consumers.</w:t>
            </w:r>
          </w:p>
        </w:tc>
      </w:tr>
      <w:tr>
        <w:trPr/>
        <w:tc>
          <w:tcPr>
            <w:tcW w:w="499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9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Our Planet &amp; Partners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 line with our goal to continuously innovate and provide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quality products to our consumers, we aim to assess,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reduce, and report on our environmental impacts.</w:t>
            </w:r>
          </w:p>
        </w:tc>
      </w:tr>
      <w:tr>
        <w:trPr/>
        <w:tc>
          <w:tcPr>
            <w:tcW w:w="499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24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Company Highlights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Our Operations and Supply Chain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We are committed to managing our manufacturing facilities in Virginia, Ontario, Canada and Victoria, Australia, as well 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 over 100 global suppliers, in a responsible manner so that they are aligned with our mission and values. We require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each supplier to embrace and adhere to our Supplier Code of Conduct, which outlines environmental, ethical and social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responsibilities that are aligned with our mission. This code is a standard communication across all suppliers, which allows us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convey to each our formal expectations around business practices. This serves to actively aid our partners in their ability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observe our values and standards.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Code of Conduct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We have a strict Code of Conduct and Ethics that fosters a work environment that is free from intimidation, harassment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violence. Our team employs a process to investigate and resolve any potential conduct or ethics concern that may violate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 Code of Conduct and Ethics. We use a third-party service for employees to report any concern with anonymity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confidentiality. Raising a concern honestly or participating in an investigation cannot be the basis for any adverse employment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action, including termination, suspension, loss of benefits, threats, harassment or discrimination.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Human Capital Management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 Company culture is founded on the principles of Leadership, Trust, Change and Execution. Of those principles, Trust is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among the most important — Trust in the safety and performance of our products, the integrity of our manufacturing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marketing processes, the character of our people, and the benefit to our consumers and society. We also reward employees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who take ownership and embody our principle of Leadership with projects that positively impact our business, community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 stakeholders. 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Safety &amp; Health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We are committed to providing a safe work environment for our employees and require employees to share this commitment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by abiding by rigorous safety measures. To enable this and assure that the message of health, safety and well-being are part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our work culture, we conduct regular training programs at our production facilities. We seek to comply with all U.S. federal,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state and/or local occupational safety and health standards and report our safety records in accordance with the Occupational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Safety and Health Administration (“OSHA”). We also seek to comply with the applicable safety and health standards in all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countries in which we have employees, including Australia, the United Kingdom and Singapore. 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PROXY SUMMARY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Voting Matters</w:t>
      </w:r>
    </w:p>
    <w:tbl>
      <w:tblPr>
        <w:tblW w:w="88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044"/>
        <w:gridCol w:w="2006"/>
        <w:gridCol w:w="1981"/>
        <w:gridCol w:w="258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4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0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4" w:type="dxa"/>
            <w:tcBorders/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1</w:t>
            </w:r>
          </w:p>
        </w:tc>
        <w:tc>
          <w:tcPr>
            <w:tcW w:w="2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2</w:t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3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0" w:type="dxa"/>
            <w:gridSpan w:val="2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To elect the six directors nominated by the Board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Directors and named in this Proxy Statement to serve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until the 2027 Annual Meeting of Stockholders or until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their earlier death, removal or resignation</w:t>
            </w:r>
          </w:p>
        </w:tc>
        <w:tc>
          <w:tcPr>
            <w:tcW w:w="1981" w:type="dxa"/>
            <w:vMerge w:val="restart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To vote on a non-binding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resolution to approve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compensation of our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named executive officers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as disclosed in our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Proxy Statement</w:t>
            </w:r>
          </w:p>
        </w:tc>
        <w:tc>
          <w:tcPr>
            <w:tcW w:w="2581" w:type="dxa"/>
            <w:vMerge w:val="restart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To ratify the appointment 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PricewaterhouseCoopers LLP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the independent registered public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accounting firm of Prestige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Consumer Healthcare Inc. for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fiscal year ending March 31, 2027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06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vMerge w:val="continue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81" w:type="dxa"/>
            <w:vMerge w:val="continue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4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Ronald M. Lombardi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John E. Byom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Celeste A. Clark</w:t>
            </w:r>
          </w:p>
        </w:tc>
        <w:tc>
          <w:tcPr>
            <w:tcW w:w="2006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James C. D’Arecca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John F. Kelly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Dawn M. Zier</w:t>
            </w:r>
          </w:p>
        </w:tc>
        <w:tc>
          <w:tcPr>
            <w:tcW w:w="1981" w:type="dxa"/>
            <w:vMerge w:val="continue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81" w:type="dxa"/>
            <w:vMerge w:val="continue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4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0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Election of Directors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2026 Board Nominees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6"/>
        <w:gridCol w:w="2243"/>
        <w:gridCol w:w="3632"/>
        <w:gridCol w:w="1231"/>
        <w:gridCol w:w="2393"/>
      </w:tblGrid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49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 Age Director Since</w:t>
            </w:r>
          </w:p>
        </w:tc>
        <w:tc>
          <w:tcPr>
            <w:tcW w:w="363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Primary (or Former) Occupation</w:t>
            </w:r>
          </w:p>
        </w:tc>
        <w:tc>
          <w:tcPr>
            <w:tcW w:w="123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Independence</w:t>
            </w:r>
          </w:p>
        </w:tc>
        <w:tc>
          <w:tcPr>
            <w:tcW w:w="239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Committee Assignments</w:t>
            </w:r>
          </w:p>
        </w:tc>
      </w:tr>
      <w:tr>
        <w:trPr/>
        <w:tc>
          <w:tcPr>
            <w:tcW w:w="70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84175" cy="384175"/>
                  <wp:effectExtent l="0" t="0" r="0" b="0"/>
                  <wp:docPr id="45" name="Image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4" w:name="i-45"/>
            <w:bookmarkEnd w:id="44"/>
          </w:p>
        </w:tc>
        <w:tc>
          <w:tcPr>
            <w:tcW w:w="224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Ronald M. Lombardi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,</w:t>
            </w: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62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June 2015</w:t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Chair of the Board, President and Chief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Executive Officer of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Prestige Consumer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Healthcare Inc.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84175" cy="384175"/>
                  <wp:effectExtent l="0" t="0" r="0" b="0"/>
                  <wp:docPr id="46" name="Image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5" w:name="i-46"/>
            <w:bookmarkEnd w:id="45"/>
          </w:p>
        </w:tc>
        <w:tc>
          <w:tcPr>
            <w:tcW w:w="22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John E. Byom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,</w:t>
            </w: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72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January 2006</w:t>
            </w:r>
          </w:p>
        </w:tc>
        <w:tc>
          <w:tcPr>
            <w:tcW w:w="36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(Former) Chief Executive Officer of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Classic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Provisions Inc;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(former) Chief Financial Officer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of International Multifoods Corporation</w:t>
            </w:r>
          </w:p>
        </w:tc>
        <w:tc>
          <w:tcPr>
            <w:tcW w:w="12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050" cy="146050"/>
                  <wp:effectExtent l="0" t="0" r="0" b="0"/>
                  <wp:docPr id="47" name="Image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6" w:name="i-47"/>
            <w:bookmarkEnd w:id="46"/>
          </w:p>
        </w:tc>
        <w:tc>
          <w:tcPr>
            <w:tcW w:w="23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Audit &amp; Finance,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Compensation &amp; Talent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Management</w:t>
            </w:r>
          </w:p>
        </w:tc>
      </w:tr>
      <w:tr>
        <w:trPr/>
        <w:tc>
          <w:tcPr>
            <w:tcW w:w="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84175" cy="384175"/>
                  <wp:effectExtent l="0" t="0" r="0" b="0"/>
                  <wp:docPr id="48" name="Image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7" w:name="i-48"/>
            <w:bookmarkEnd w:id="47"/>
          </w:p>
        </w:tc>
        <w:tc>
          <w:tcPr>
            <w:tcW w:w="224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Celeste A. Clark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, Ph.D.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73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February 2021</w:t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(Former) Senior Vice President, Global Policy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and External Affairs and Chief Sustainability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Officer of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Kellogg Company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050" cy="146050"/>
                  <wp:effectExtent l="0" t="0" r="0" b="0"/>
                  <wp:docPr id="49" name="Image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8" w:name="i-49"/>
            <w:bookmarkEnd w:id="48"/>
          </w:p>
        </w:tc>
        <w:tc>
          <w:tcPr>
            <w:tcW w:w="239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Compensation &amp; Talent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Management, Nominating &amp;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Corporate Governance (Chair)</w:t>
            </w:r>
          </w:p>
        </w:tc>
      </w:tr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84175" cy="384175"/>
                  <wp:effectExtent l="0" t="0" r="0" b="0"/>
                  <wp:docPr id="50" name="Image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9" w:name="i-50"/>
            <w:bookmarkEnd w:id="49"/>
          </w:p>
        </w:tc>
        <w:tc>
          <w:tcPr>
            <w:tcW w:w="22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James C. D’Arecca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, 55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August 2023</w:t>
            </w:r>
          </w:p>
        </w:tc>
        <w:tc>
          <w:tcPr>
            <w:tcW w:w="36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Executive Vice President, Chief Financial Officer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of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Haemonetics Corporation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.</w:t>
            </w:r>
          </w:p>
        </w:tc>
        <w:tc>
          <w:tcPr>
            <w:tcW w:w="12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64465" cy="164465"/>
                  <wp:effectExtent l="0" t="0" r="0" b="0"/>
                  <wp:docPr id="51" name="Image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65" cy="16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0" w:name="i-51"/>
            <w:bookmarkEnd w:id="50"/>
          </w:p>
        </w:tc>
        <w:tc>
          <w:tcPr>
            <w:tcW w:w="23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Audit &amp; Finance (Chair),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Nominating &amp; Corporate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Governance</w:t>
            </w:r>
          </w:p>
        </w:tc>
      </w:tr>
      <w:tr>
        <w:trPr/>
        <w:tc>
          <w:tcPr>
            <w:tcW w:w="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84175" cy="384175"/>
                  <wp:effectExtent l="0" t="0" r="0" b="0"/>
                  <wp:docPr id="52" name="Image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1" w:name="i-52"/>
            <w:bookmarkEnd w:id="51"/>
          </w:p>
        </w:tc>
        <w:tc>
          <w:tcPr>
            <w:tcW w:w="224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John F. Kelly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, 65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May 2024</w:t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(Former) Vice President, Quality Operations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Environment, Health &amp; Safety of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Pfizer Inc.</w:t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050" cy="146050"/>
                  <wp:effectExtent l="0" t="0" r="0" b="0"/>
                  <wp:docPr id="53" name="Image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2" w:name="i-53"/>
            <w:bookmarkEnd w:id="52"/>
          </w:p>
        </w:tc>
        <w:tc>
          <w:tcPr>
            <w:tcW w:w="239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Compensation &amp; Talent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Management, Nominating &amp;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Corporate Governance</w:t>
            </w:r>
          </w:p>
        </w:tc>
      </w:tr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84175" cy="384810"/>
                  <wp:effectExtent l="0" t="0" r="0" b="0"/>
                  <wp:docPr id="54" name="Image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3" w:name="i-54"/>
            <w:bookmarkEnd w:id="53"/>
          </w:p>
        </w:tc>
        <w:tc>
          <w:tcPr>
            <w:tcW w:w="22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Dawn M. Zier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, 61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May 2020</w:t>
            </w:r>
          </w:p>
        </w:tc>
        <w:tc>
          <w:tcPr>
            <w:tcW w:w="36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Chair of The Hain Celestial Group, Inc; (former)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President and CEO of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Nutrisystem</w:t>
            </w:r>
          </w:p>
        </w:tc>
        <w:tc>
          <w:tcPr>
            <w:tcW w:w="12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55" name="Image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4" w:name="i-55"/>
            <w:bookmarkEnd w:id="54"/>
          </w:p>
        </w:tc>
        <w:tc>
          <w:tcPr>
            <w:tcW w:w="23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Audit &amp; Finance,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Compensation &amp; Talent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Management (Chair)</w:t>
            </w:r>
          </w:p>
        </w:tc>
      </w:tr>
      <w:tr>
        <w:trPr/>
        <w:tc>
          <w:tcPr>
            <w:tcW w:w="70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43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3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11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2026 Board Snapshot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Experienced Independent Board with a Range of Skills and Tenure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INDEPENDENCE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34770" cy="1207135"/>
            <wp:effectExtent l="0" t="0" r="0" b="0"/>
            <wp:docPr id="56" name="Image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6" descr="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5" w:name="i-56"/>
      <w:bookmarkEnd w:id="55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TENURE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600200" cy="1289050"/>
            <wp:effectExtent l="0" t="0" r="0" b="0"/>
            <wp:docPr id="57" name="Image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57" descr="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6" w:name="i-57"/>
      <w:bookmarkEnd w:id="56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AGE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463040" cy="1207135"/>
            <wp:effectExtent l="0" t="0" r="0" b="0"/>
            <wp:docPr id="58" name="Image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58" descr="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7" w:name="i-58"/>
      <w:bookmarkEnd w:id="57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DIVERSITY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36090" cy="923290"/>
            <wp:effectExtent l="0" t="0" r="0" b="0"/>
            <wp:docPr id="59" name="Image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59" descr="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8" w:name="i-59"/>
      <w:bookmarkEnd w:id="58"/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Director Skills</w:t>
      </w:r>
    </w:p>
    <w:tbl>
      <w:tblPr>
        <w:tblW w:w="90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3"/>
        <w:gridCol w:w="3721"/>
        <w:gridCol w:w="2390"/>
        <w:gridCol w:w="2435"/>
      </w:tblGrid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Some Knowledge</w:t>
            </w:r>
          </w:p>
        </w:tc>
        <w:tc>
          <w:tcPr>
            <w:tcW w:w="243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Deep Knowledge</w:t>
            </w:r>
          </w:p>
        </w:tc>
      </w:tr>
      <w:tr>
        <w:trPr/>
        <w:tc>
          <w:tcPr>
            <w:tcW w:w="53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60" name="Image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9" w:name="i-60"/>
            <w:bookmarkEnd w:id="59"/>
          </w:p>
        </w:tc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Leadership Experience</w:t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61" name="Image6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6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0" w:name="i-61"/>
            <w:bookmarkEnd w:id="60"/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62" name="Image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1" w:name="i-62"/>
            <w:bookmarkEnd w:id="61"/>
          </w:p>
        </w:tc>
        <w:tc>
          <w:tcPr>
            <w:tcW w:w="37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Finance Experience</w:t>
            </w:r>
          </w:p>
        </w:tc>
        <w:tc>
          <w:tcPr>
            <w:tcW w:w="23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63" name="Image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2" w:name="i-63"/>
            <w:bookmarkEnd w:id="62"/>
          </w:p>
        </w:tc>
        <w:tc>
          <w:tcPr>
            <w:tcW w:w="24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64" name="Image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3" w:name="i-64"/>
            <w:bookmarkEnd w:id="63"/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65" name="Image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4" w:name="i-65"/>
            <w:bookmarkEnd w:id="64"/>
          </w:p>
        </w:tc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Consumer Products Experience</w:t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66" name="Image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5" w:name="i-66"/>
            <w:bookmarkEnd w:id="65"/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67" name="Image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6" w:name="i-67"/>
            <w:bookmarkEnd w:id="66"/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68" name="Image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7" w:name="i-68"/>
            <w:bookmarkEnd w:id="67"/>
          </w:p>
        </w:tc>
        <w:tc>
          <w:tcPr>
            <w:tcW w:w="37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Marketing Experience</w:t>
            </w:r>
          </w:p>
        </w:tc>
        <w:tc>
          <w:tcPr>
            <w:tcW w:w="23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69" name="Image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8" w:name="i-69"/>
            <w:bookmarkEnd w:id="68"/>
          </w:p>
        </w:tc>
        <w:tc>
          <w:tcPr>
            <w:tcW w:w="24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70" name="Image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9" w:name="i-70"/>
            <w:bookmarkEnd w:id="69"/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71" name="Image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0" w:name="i-71"/>
            <w:bookmarkEnd w:id="70"/>
          </w:p>
        </w:tc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Sustainability &amp; Corporate Governance</w:t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72" name="Image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1" w:name="i-72"/>
            <w:bookmarkEnd w:id="71"/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73" name="Image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2" w:name="i-73"/>
            <w:bookmarkEnd w:id="72"/>
          </w:p>
        </w:tc>
      </w:tr>
      <w:tr>
        <w:trPr/>
        <w:tc>
          <w:tcPr>
            <w:tcW w:w="5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74" name="Image7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7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3" w:name="i-74"/>
            <w:bookmarkEnd w:id="73"/>
          </w:p>
        </w:tc>
        <w:tc>
          <w:tcPr>
            <w:tcW w:w="37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Supply Chain Experience</w:t>
            </w:r>
          </w:p>
        </w:tc>
        <w:tc>
          <w:tcPr>
            <w:tcW w:w="23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75" name="Image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4" w:name="i-75"/>
            <w:bookmarkEnd w:id="74"/>
          </w:p>
        </w:tc>
        <w:tc>
          <w:tcPr>
            <w:tcW w:w="24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63040" cy="179070"/>
                  <wp:effectExtent l="0" t="0" r="0" b="0"/>
                  <wp:docPr id="76" name="Image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7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5" w:name="i-76"/>
            <w:bookmarkEnd w:id="75"/>
          </w:p>
        </w:tc>
      </w:tr>
      <w:tr>
        <w:trPr/>
        <w:tc>
          <w:tcPr>
            <w:tcW w:w="533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0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5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Corporate Governance Highlights</w:t>
      </w:r>
    </w:p>
    <w:tbl>
      <w:tblPr>
        <w:tblW w:w="28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"/>
        <w:gridCol w:w="2506"/>
      </w:tblGrid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77" name="Image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6" w:name="i-77"/>
            <w:bookmarkEnd w:id="76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Board Accountability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78" name="Image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7" w:name="i-78"/>
            <w:bookmarkEnd w:id="77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Director Independence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79" name="Image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8" w:name="i-79"/>
            <w:bookmarkEnd w:id="78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Board Leadership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0" name="Image8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8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9" w:name="i-80"/>
            <w:bookmarkEnd w:id="79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Director Engagement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1" name="Image8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8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0" w:name="i-81"/>
            <w:bookmarkEnd w:id="80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Board Diversity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2" name="Image8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8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1" w:name="i-82"/>
            <w:bookmarkEnd w:id="81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Continuous Board Education</w:t>
            </w:r>
          </w:p>
        </w:tc>
      </w:tr>
    </w:tbl>
    <w:tbl>
      <w:tblPr>
        <w:tblW w:w="27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"/>
        <w:gridCol w:w="2446"/>
      </w:tblGrid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3" name="Image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2" w:name="i-83"/>
            <w:bookmarkEnd w:id="82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Regular Executive Sessions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4" name="Image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3" w:name="i-84"/>
            <w:bookmarkEnd w:id="83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Board and Committee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Self-Evaluations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5" name="Image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4" w:name="i-85"/>
            <w:bookmarkEnd w:id="84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 Overboarding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6" name="Image8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8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5" w:name="i-86"/>
            <w:bookmarkEnd w:id="85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Director Access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 Resources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7" name="Image8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8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6" w:name="i-87"/>
            <w:bookmarkEnd w:id="86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Stockholder Rights</w:t>
            </w:r>
          </w:p>
        </w:tc>
      </w:tr>
    </w:tbl>
    <w:tbl>
      <w:tblPr>
        <w:tblW w:w="26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"/>
        <w:gridCol w:w="2311"/>
      </w:tblGrid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8" name="Image8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8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7" w:name="i-88"/>
            <w:bookmarkEnd w:id="87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Regular Review of Key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Governance Documents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89" name="Image8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8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8" w:name="i-89"/>
            <w:bookmarkEnd w:id="88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Best Practices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90" name="Image9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9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9" w:name="i-90"/>
            <w:bookmarkEnd w:id="89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Robust Code of Conduct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Ethics</w:t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5575"/>
                  <wp:effectExtent l="0" t="0" r="0" b="0"/>
                  <wp:docPr id="91" name="Image9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9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0" w:name="i-91"/>
            <w:bookmarkEnd w:id="90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Robust Risk Management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Oversight</w:t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Proxy Summary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2026 Executive Compensation Overview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We Pay for Performance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We closely link pay and performance through the rigorous goals we set in our incentive programs and the fact that our entire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long-term incentive is delivered in equity, which aligns our management team with our stockholders.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CEO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086100" cy="1473200"/>
            <wp:effectExtent l="0" t="0" r="0" b="0"/>
            <wp:docPr id="92" name="Image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92" descr="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1" w:name="i-92"/>
      <w:bookmarkEnd w:id="91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AVERAGE OTHER NEOs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086100" cy="1468120"/>
            <wp:effectExtent l="0" t="0" r="0" b="0"/>
            <wp:docPr id="93" name="Image9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93" descr="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2" w:name="i-93"/>
      <w:bookmarkEnd w:id="92"/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 xml:space="preserve">Elements of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following table provides additional information regarding the various elements of our 2026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program.</w:t>
      </w:r>
    </w:p>
    <w:tbl>
      <w:tblPr>
        <w:tblW w:w="93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5"/>
        <w:gridCol w:w="109"/>
        <w:gridCol w:w="109"/>
        <w:gridCol w:w="1636"/>
        <w:gridCol w:w="3871"/>
        <w:gridCol w:w="3346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Pay Element</w:t>
            </w:r>
          </w:p>
        </w:tc>
        <w:tc>
          <w:tcPr>
            <w:tcW w:w="387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Objective</w:t>
            </w:r>
          </w:p>
        </w:tc>
        <w:tc>
          <w:tcPr>
            <w:tcW w:w="33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Purpose of the Pay Element</w:t>
            </w:r>
          </w:p>
        </w:tc>
      </w:tr>
      <w:tr>
        <w:trPr/>
        <w:tc>
          <w:tcPr>
            <w:tcW w:w="245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shd w:fill="4C4C4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276860"/>
                  <wp:effectExtent l="0" t="0" r="0" b="0"/>
                  <wp:docPr id="94" name="Image9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9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27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3" w:name="i-94"/>
            <w:bookmarkEnd w:id="93"/>
          </w:p>
        </w:tc>
        <w:tc>
          <w:tcPr>
            <w:tcW w:w="109" w:type="dxa"/>
            <w:tcBorders/>
            <w:shd w:fill="4C4C4C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4C4C4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4C4C4C"/>
                <w:sz w:val="18"/>
                <w:u w:val="none"/>
                <w:effect w:val="none"/>
              </w:rPr>
              <w:t>Base Salary</w:t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Skills, experience, competence,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performance, responsibility, leadership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contribution to the Company. 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Recognize the level of job scope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complexity, and the skills, experience,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leadership and sustained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required by the executive. </w:t>
            </w:r>
          </w:p>
        </w:tc>
      </w:tr>
      <w:tr>
        <w:trPr/>
        <w:tc>
          <w:tcPr>
            <w:tcW w:w="24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shd w:fill="4C4C4C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shd w:fill="A6192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04875"/>
                  <wp:effectExtent l="0" t="0" r="0" b="0"/>
                  <wp:docPr id="95" name="Image9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9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4" w:name="i-95"/>
            <w:bookmarkEnd w:id="94"/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Annual Cash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Incentive (“AIP”)</w:t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Achieving annual target revenue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 profitability. 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Reward the achievement of annual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performance targets.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Ensures compensation is properly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aligned to financial performance,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including being completely at risk for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failure to meet annual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threshold targets. </w:t>
            </w:r>
          </w:p>
        </w:tc>
      </w:tr>
      <w:tr>
        <w:trPr/>
        <w:tc>
          <w:tcPr>
            <w:tcW w:w="24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Long-Term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Incentive Awards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(Performance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Stock Units,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Restricted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Stock Units)</w:t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Achieving long-term revenue growth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 profitability over the three year period.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Ability to increase and maintain stock price.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Achievement of adjusted cumulative EBITDA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cumulative revenue goals.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Continued employment with the Company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during the three-year vesting period. 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Reward achievement of long-term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financial performance and strategic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corporate initiatives.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Provide a competitive mix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incentives to attract and retain top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talent and to further reinforce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alignment between the interests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management and stockholders. </w:t>
            </w:r>
          </w:p>
        </w:tc>
      </w:tr>
      <w:tr>
        <w:trPr/>
        <w:tc>
          <w:tcPr>
            <w:tcW w:w="24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shd w:fill="1B365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13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Say-on-Pay Vote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 the 2025 Annual Meeting of Stockholders, approximately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97% of the shares represented voted to in favor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of the Company’s named executive officers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as discussed and disclosed in our 2025 Proxy Statement.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 considering the results of this advisory vote on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compensation, the Compensation and Talent Management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Committee concluded that the compensation paid to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named executive officers and the Company’s overall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program enjoy strong stockholder support.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also regularly meet with our largest stockholders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solicit feedback on a wide range of topics, including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executive compensation.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2025 SAY ON PAY APPROVAL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743200" cy="1417320"/>
            <wp:effectExtent l="0" t="0" r="0" b="0"/>
            <wp:docPr id="96" name="Image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96" descr="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5" w:name="i-96"/>
      <w:bookmarkEnd w:id="95"/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Executive Compensation Best Practices</w:t>
      </w:r>
    </w:p>
    <w:tbl>
      <w:tblPr>
        <w:tblW w:w="868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657"/>
        <w:gridCol w:w="2118"/>
        <w:gridCol w:w="109"/>
        <w:gridCol w:w="109"/>
        <w:gridCol w:w="109"/>
        <w:gridCol w:w="109"/>
        <w:gridCol w:w="2207"/>
        <w:gridCol w:w="493"/>
        <w:gridCol w:w="253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55905" cy="255905"/>
                  <wp:effectExtent l="0" t="0" r="0" b="0"/>
                  <wp:docPr id="97" name="Image9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9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5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6" w:name="i-97"/>
            <w:bookmarkEnd w:id="96"/>
          </w:p>
        </w:tc>
        <w:tc>
          <w:tcPr>
            <w:tcW w:w="2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6"/>
                <w:u w:val="none"/>
                <w:effect w:val="none"/>
              </w:rPr>
              <w:t>What We Do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55905" cy="255905"/>
                  <wp:effectExtent l="0" t="0" r="0" b="0"/>
                  <wp:docPr id="98" name="Image9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9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5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7" w:name="i-98"/>
            <w:bookmarkEnd w:id="97"/>
          </w:p>
        </w:tc>
        <w:tc>
          <w:tcPr>
            <w:tcW w:w="3029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6"/>
                <w:u w:val="none"/>
                <w:effect w:val="none"/>
              </w:rPr>
              <w:t>What We Don’t Do</w:t>
            </w:r>
          </w:p>
        </w:tc>
      </w:tr>
      <w:tr>
        <w:trPr/>
        <w:tc>
          <w:tcPr>
            <w:tcW w:w="124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Clawback Policy.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550" cy="67945"/>
                  <wp:effectExtent l="0" t="0" r="0" b="0"/>
                  <wp:docPr id="99" name="Image9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Image9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" cy="67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8" w:name="i-99"/>
            <w:bookmarkEnd w:id="98"/>
          </w:p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Minimum vesting requirements.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550" cy="67945"/>
                  <wp:effectExtent l="0" t="0" r="0" b="0"/>
                  <wp:docPr id="100" name="Image10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0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" cy="67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9" w:name="i-100"/>
            <w:bookmarkEnd w:id="99"/>
          </w:p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Limitation on non-employee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550" cy="67945"/>
                  <wp:effectExtent l="0" t="0" r="0" b="0"/>
                  <wp:docPr id="101" name="Image10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Image10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" cy="67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0" w:name="i-101"/>
            <w:bookmarkEnd w:id="100"/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director compensation.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Robust Stock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550" cy="67945"/>
                  <wp:effectExtent l="0" t="0" r="0" b="0"/>
                  <wp:docPr id="102" name="Image10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10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" cy="67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1" w:name="i-102"/>
            <w:bookmarkEnd w:id="101"/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Ownership Guidelines.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No evergreen provision in our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03" name="Image10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Image10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2" w:name="i-103"/>
            <w:bookmarkEnd w:id="102"/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equity plan.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No repricing of stock options.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04" name="Image10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0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3" w:name="i-104"/>
            <w:bookmarkEnd w:id="103"/>
          </w:p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No dividends 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05" name="Image10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Image10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4" w:name="i-105"/>
            <w:bookmarkEnd w:id="104"/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unearned awards.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No excessive perks.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06" name="Image10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0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5" w:name="i-106"/>
            <w:bookmarkEnd w:id="105"/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No liberal share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07" name="Image10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10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6" w:name="i-107"/>
            <w:bookmarkEnd w:id="106"/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recycling provisions.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No single-trigger change of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08" name="Image1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7" w:name="i-108"/>
            <w:bookmarkEnd w:id="107"/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control vesting.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No gross-ups.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09" name="Image1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Image1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8" w:name="i-109"/>
            <w:bookmarkEnd w:id="108"/>
          </w:p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No hedging.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10" name="Image1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9" w:name="i-110"/>
            <w:bookmarkEnd w:id="109"/>
          </w:p>
        </w:tc>
      </w:tr>
      <w:tr>
        <w:trPr/>
        <w:tc>
          <w:tcPr>
            <w:tcW w:w="124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8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3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 xml:space="preserve">BOARD AND GOVERNANCE </w:t>
      </w: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MATTERS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99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0"/>
        <w:gridCol w:w="9485"/>
      </w:tblGrid>
      <w:tr>
        <w:trPr/>
        <w:tc>
          <w:tcPr>
            <w:tcW w:w="4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5" w:type="dxa"/>
            <w:gridSpan w:val="2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5" w:type="dxa"/>
            <w:gridSpan w:val="2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PROPOSAL 1: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  <w:t>Election of Directors</w:t>
            </w:r>
          </w:p>
        </w:tc>
      </w:tr>
      <w:tr>
        <w:trPr/>
        <w:tc>
          <w:tcPr>
            <w:tcW w:w="9945" w:type="dxa"/>
            <w:gridSpan w:val="2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How many directors are stockholders being asked to elect and for what term?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number of directors on the Board of Directors is fixed from time to time by resolution adopted by the affirmative vote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of a majority of the total number of directors then in office. Currently, the Board of Directors is fixed at seven directors.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connection with the 2026 Annual Meeting of Stockholders, Sheila A. Hopkins has elected to retire from the Board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Directors and will not stand for reelection. The Board wishes to express its deep appreciation for her nearly eleven years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of service and her significant contributions to the Company. Following the Annual Meeting, the Board will be reduced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from seven to six directors. If elected, each of the six nominees would hold office until the 2027 Annual Meeting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Stockholders and until his or her respective successor is elected and qualified or until his or her earlier death, removal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or resignation.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What if a nominee is unable to stand for election?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If a nominee is unable to stand for election, the Board may either reduce the number of directors to be elected or select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 substitute nominee. If a substitute nominee is selected, the proxy holders will vote your shares for the substitute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nominee, unless you have voted “Withhold” with respect to the original nominee.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How many votes are needed to elect directors?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 plurality of the votes of shares present, in person or represented by proxy, at the Annual Meeting and entitled to vote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election of directors is necessary for the election of directors. This means that the six director nominees with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most votes will be elected. You may vote in favor of all nominees, withhold your vote as to all nominees, or withhold your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vote as to specific nominees.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What Does the Board of Directors Recommend?</w:t>
            </w:r>
          </w:p>
        </w:tc>
      </w:tr>
      <w:tr>
        <w:trPr/>
        <w:tc>
          <w:tcPr>
            <w:tcW w:w="460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8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5" w:type="dxa"/>
            <w:gridSpan w:val="2"/>
            <w:tcBorders>
              <w:top w:val="single" w:sz="4" w:space="0" w:color="1B365D"/>
              <w:left w:val="single" w:sz="4" w:space="0" w:color="1B365D"/>
              <w:right w:val="single" w:sz="4" w:space="0" w:color="1B365D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0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2880"/>
                  <wp:effectExtent l="0" t="0" r="0" b="0"/>
                  <wp:docPr id="111" name="Image1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Image1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0" w:name="i-111"/>
            <w:bookmarkEnd w:id="110"/>
          </w:p>
        </w:tc>
        <w:tc>
          <w:tcPr>
            <w:tcW w:w="9485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Board Recommends You Vote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FOR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the Election of the Nominees for Director Named Above.</w:t>
            </w:r>
          </w:p>
        </w:tc>
      </w:tr>
      <w:tr>
        <w:trPr/>
        <w:tc>
          <w:tcPr>
            <w:tcW w:w="9945" w:type="dxa"/>
            <w:gridSpan w:val="2"/>
            <w:tcBorders>
              <w:left w:val="single" w:sz="4" w:space="0" w:color="1B365D"/>
              <w:bottom w:val="single" w:sz="4" w:space="0" w:color="1B365D"/>
              <w:right w:val="single" w:sz="4" w:space="0" w:color="1B365D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15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Board and Governance Matters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Board Skills and Qualifications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believe that our directors should possess the highest personal and professional ethics, integrity and values and be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committed to representing the interests of the stockholders. They must also have an inquisitive and objective perspective,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practical wisdom, mature judgment and demonstrated leadership skills. We also endeavor to have a Board of Directors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representing a range of experiences in areas that are relevant to the Company’s business activities. Below we identify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describe the key experience, qualifications and skills our directors bring to the Board that are important considering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Company’s business and structure. The directors’ experiences, qualifications and skills that the Nominating and Corporate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Governance Committee considered in their nominations are included in their individual biographies.</w:t>
      </w:r>
    </w:p>
    <w:tbl>
      <w:tblPr>
        <w:tblW w:w="100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529"/>
        <w:gridCol w:w="924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7495" cy="274320"/>
                  <wp:effectExtent l="0" t="0" r="0" b="0"/>
                  <wp:docPr id="112" name="Image1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1" w:name="i-112"/>
            <w:bookmarkEnd w:id="111"/>
          </w:p>
        </w:tc>
        <w:tc>
          <w:tcPr>
            <w:tcW w:w="92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Leadership Experience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We believe that directors with experience in significant leadership positions over an extended period, especially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chief executive officer positions, chief financial officers and other senior executives, provide the Company with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valuable insights and strategic thinking. These individuals generally possess extraordinary leadership qualities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the ability to identify and develop those qualities in others. They demonstrate a practical understanding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organizations, processes, strategy, risk management and the methods to drive change and growth.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66065" cy="255905"/>
                  <wp:effectExtent l="0" t="0" r="0" b="0"/>
                  <wp:docPr id="113" name="Image1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Image1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65" cy="25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2" w:name="i-113"/>
            <w:bookmarkEnd w:id="112"/>
          </w:p>
        </w:tc>
        <w:tc>
          <w:tcPr>
            <w:tcW w:w="92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Finance Experience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We believe that an understanding of finance and the financial reporting process is important for our directors.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We measure our operating and strategic performance by reference to financial targets. In addition, accurate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financial reporting and robust auditing are critical to our success and developing stockholders’ confidence in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reporting processes under the Sarbanes-Oxley Act of 2002. We expect all of our directors to be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financially literate.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1305" cy="274320"/>
                  <wp:effectExtent l="0" t="0" r="0" b="0"/>
                  <wp:docPr id="114" name="Image1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5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3" w:name="i-114"/>
            <w:bookmarkEnd w:id="113"/>
          </w:p>
        </w:tc>
        <w:tc>
          <w:tcPr>
            <w:tcW w:w="92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Consumer Products Experience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Company is a marketer and distributor of brand name personal healthcare products throughout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U.S. and Canada, Australia, and in certain other international markets. We seek directors who possess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demonstrated executive experience in the management, marketing, and commercial development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consumer products businesses, including familiarity with omnichannel retail environments and international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 distribution.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1145" cy="274320"/>
                  <wp:effectExtent l="0" t="0" r="0" b="0"/>
                  <wp:docPr id="115" name="Image1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Image1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45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4" w:name="i-115"/>
            <w:bookmarkEnd w:id="114"/>
          </w:p>
        </w:tc>
        <w:tc>
          <w:tcPr>
            <w:tcW w:w="92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Marketing Experience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Company pursues a strategy of organic growth by identifying and executing on opportunities to expand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distribution and commercial reach of its product portfolio through omnichannel marketing strategies —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encompassing digital, social media, and ecommerce platforms — while also identifying and commercializing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new product opportunities. We seek directors who possess demonstrated expertise in brand-led marketing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strategy, digital marketing performance, and ecommerce growth and scalability.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116" name="Image1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5" w:name="i-116"/>
            <w:bookmarkEnd w:id="115"/>
          </w:p>
        </w:tc>
        <w:tc>
          <w:tcPr>
            <w:tcW w:w="92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Sustainability &amp; Corporate Governance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As a global corporate citizen, we believe that sustainable operations are both financially and operationally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beneficial to our business, and critical to the health of our employees and the communities in which we operate.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We seek directors with experience in building strong environmental, labor, health &amp; safety,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governance and ethical practices.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117" name="Image1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1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6" w:name="i-117"/>
            <w:bookmarkEnd w:id="116"/>
          </w:p>
        </w:tc>
        <w:tc>
          <w:tcPr>
            <w:tcW w:w="92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Supply Chain Experience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Company relies on both third party manufacturers and its own manufacturing facilities to fulfill its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manufacturing needs. As a result, we seek directors with experience in supply chain management, quality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compliance with the various regulations that govern the manufacturing, packaging, labeling, distribution,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importation of our products.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Board and Governance Matters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Director Skills Matrix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endeavor to have a Board of Directors representing a range of experiences in areas that are relevant to the Company’s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business activities. Below we identify and describe the key experience, qualifications and skills our directors bring to the Board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that are important considering the Company’s business and structure.</w:t>
      </w:r>
    </w:p>
    <w:tbl>
      <w:tblPr>
        <w:tblW w:w="75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4"/>
        <w:gridCol w:w="3451"/>
        <w:gridCol w:w="244"/>
        <w:gridCol w:w="201"/>
        <w:gridCol w:w="201"/>
        <w:gridCol w:w="244"/>
        <w:gridCol w:w="244"/>
        <w:gridCol w:w="201"/>
        <w:gridCol w:w="201"/>
        <w:gridCol w:w="1006"/>
        <w:gridCol w:w="1051"/>
      </w:tblGrid>
      <w:tr>
        <w:trPr/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vMerge w:val="restart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vMerge w:val="restart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0330" cy="285750"/>
                  <wp:effectExtent l="0" t="0" r="0" b="0"/>
                  <wp:docPr id="118" name="Image1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7" w:name="i-118"/>
            <w:bookmarkEnd w:id="117"/>
          </w:p>
        </w:tc>
        <w:tc>
          <w:tcPr>
            <w:tcW w:w="201" w:type="dxa"/>
            <w:vMerge w:val="restart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227965"/>
                  <wp:effectExtent l="0" t="0" r="0" b="0"/>
                  <wp:docPr id="119" name="Image1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1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227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8" w:name="i-119"/>
            <w:bookmarkEnd w:id="118"/>
          </w:p>
        </w:tc>
        <w:tc>
          <w:tcPr>
            <w:tcW w:w="201" w:type="dxa"/>
            <w:vMerge w:val="restart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436245"/>
                  <wp:effectExtent l="0" t="0" r="0" b="0"/>
                  <wp:docPr id="120" name="Image1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436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9" w:name="i-120"/>
            <w:bookmarkEnd w:id="119"/>
          </w:p>
        </w:tc>
        <w:tc>
          <w:tcPr>
            <w:tcW w:w="244" w:type="dxa"/>
            <w:vMerge w:val="restart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0330" cy="402590"/>
                  <wp:effectExtent l="0" t="0" r="0" b="0"/>
                  <wp:docPr id="121" name="Image1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1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" cy="402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0" w:name="i-121"/>
            <w:bookmarkEnd w:id="120"/>
          </w:p>
        </w:tc>
        <w:tc>
          <w:tcPr>
            <w:tcW w:w="244" w:type="dxa"/>
            <w:vMerge w:val="restart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0330" cy="246380"/>
                  <wp:effectExtent l="0" t="0" r="0" b="0"/>
                  <wp:docPr id="122" name="Image1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1" w:name="i-122"/>
            <w:bookmarkEnd w:id="121"/>
          </w:p>
        </w:tc>
        <w:tc>
          <w:tcPr>
            <w:tcW w:w="201" w:type="dxa"/>
            <w:vMerge w:val="restart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436245"/>
                  <wp:effectExtent l="0" t="0" r="0" b="0"/>
                  <wp:docPr id="123" name="Image1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Image1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436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2" w:name="i-123"/>
            <w:bookmarkEnd w:id="122"/>
          </w:p>
        </w:tc>
        <w:tc>
          <w:tcPr>
            <w:tcW w:w="201" w:type="dxa"/>
            <w:vMerge w:val="restart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171450"/>
                  <wp:effectExtent l="0" t="0" r="0" b="0"/>
                  <wp:docPr id="124" name="Image1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3" w:name="i-124"/>
            <w:bookmarkEnd w:id="123"/>
          </w:p>
        </w:tc>
        <w:tc>
          <w:tcPr>
            <w:tcW w:w="2057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Total Experience</w:t>
            </w:r>
          </w:p>
        </w:tc>
      </w:tr>
      <w:tr>
        <w:trPr/>
        <w:tc>
          <w:tcPr>
            <w:tcW w:w="544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1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1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4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4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1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1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51" w:type="dxa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1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1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4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4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1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1" w:type="dxa"/>
            <w:vMerge w:val="continue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Some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Knowledge</w:t>
            </w:r>
          </w:p>
        </w:tc>
        <w:tc>
          <w:tcPr>
            <w:tcW w:w="1051" w:type="dxa"/>
            <w:tcBorders>
              <w:bottom w:val="single" w:sz="4" w:space="0" w:color="FFFFF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Deep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Knowledge</w:t>
            </w:r>
          </w:p>
        </w:tc>
      </w:tr>
      <w:tr>
        <w:trPr/>
        <w:tc>
          <w:tcPr>
            <w:tcW w:w="544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4" w:space="0" w:color="FFFFFF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7495" cy="274320"/>
                  <wp:effectExtent l="0" t="0" r="0" b="0"/>
                  <wp:docPr id="125" name="Image1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Image1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4" w:name="i-125"/>
            <w:bookmarkEnd w:id="124"/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Leadership Experience</w:t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26" name="Image1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5" w:name="i-126"/>
            <w:bookmarkEnd w:id="125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27" name="Image1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Image1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6" w:name="i-127"/>
            <w:bookmarkEnd w:id="126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28" name="Image1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7" w:name="i-128"/>
            <w:bookmarkEnd w:id="127"/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29" name="Image1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Image1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8" w:name="i-129"/>
            <w:bookmarkEnd w:id="128"/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30" name="Image1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9" w:name="i-130"/>
            <w:bookmarkEnd w:id="129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31" name="Image1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Image1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0" w:name="i-131"/>
            <w:bookmarkEnd w:id="130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32" name="Image1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1" w:name="i-132"/>
            <w:bookmarkEnd w:id="131"/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33" name="Image1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Image1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2" w:name="i-133"/>
            <w:bookmarkEnd w:id="132"/>
          </w:p>
        </w:tc>
      </w:tr>
      <w:tr>
        <w:trPr/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66065" cy="255905"/>
                  <wp:effectExtent l="0" t="0" r="0" b="0"/>
                  <wp:docPr id="134" name="Image1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65" cy="25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3" w:name="i-134"/>
            <w:bookmarkEnd w:id="133"/>
          </w:p>
        </w:tc>
        <w:tc>
          <w:tcPr>
            <w:tcW w:w="34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Finance Experience</w:t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35" name="Image1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1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4" w:name="i-135"/>
            <w:bookmarkEnd w:id="134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36" name="Image1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5" w:name="i-136"/>
            <w:bookmarkEnd w:id="135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37" name="Image1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1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6" w:name="i-137"/>
            <w:bookmarkEnd w:id="136"/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38" name="Image1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7" w:name="i-138"/>
            <w:bookmarkEnd w:id="137"/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39" name="Image1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1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8" w:name="i-139"/>
            <w:bookmarkEnd w:id="138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40" name="Image1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9" w:name="i-140"/>
            <w:bookmarkEnd w:id="139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41" name="Image1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1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0" w:name="i-141"/>
            <w:bookmarkEnd w:id="140"/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42" name="Image1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1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1" w:name="i-142"/>
            <w:bookmarkEnd w:id="141"/>
          </w:p>
        </w:tc>
        <w:tc>
          <w:tcPr>
            <w:tcW w:w="10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43" name="Image1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Image1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2" w:name="i-143"/>
            <w:bookmarkEnd w:id="142"/>
          </w:p>
        </w:tc>
      </w:tr>
      <w:tr>
        <w:trPr/>
        <w:tc>
          <w:tcPr>
            <w:tcW w:w="5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1305" cy="274320"/>
                  <wp:effectExtent l="0" t="0" r="0" b="0"/>
                  <wp:docPr id="144" name="Image1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5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3" w:name="i-144"/>
            <w:bookmarkEnd w:id="143"/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Consumer Products Experience</w:t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45" name="Image1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Image1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4" w:name="i-145"/>
            <w:bookmarkEnd w:id="144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46" name="Image1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1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5" w:name="i-146"/>
            <w:bookmarkEnd w:id="145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47" name="Image1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Image1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6" w:name="i-147"/>
            <w:bookmarkEnd w:id="146"/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48" name="Image1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1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7" w:name="i-148"/>
            <w:bookmarkEnd w:id="147"/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49" name="Image1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Image1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8" w:name="i-149"/>
            <w:bookmarkEnd w:id="148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50" name="Image1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9" w:name="i-150"/>
            <w:bookmarkEnd w:id="149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51" name="Image1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1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0" w:name="i-151"/>
            <w:bookmarkEnd w:id="150"/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52" name="Image1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1" w:name="i-152"/>
            <w:bookmarkEnd w:id="151"/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53" name="Image1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age1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2" w:name="i-153"/>
            <w:bookmarkEnd w:id="152"/>
          </w:p>
        </w:tc>
      </w:tr>
      <w:tr>
        <w:trPr/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1145" cy="274320"/>
                  <wp:effectExtent l="0" t="0" r="0" b="0"/>
                  <wp:docPr id="154" name="Image1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45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3" w:name="i-154"/>
            <w:bookmarkEnd w:id="153"/>
          </w:p>
        </w:tc>
        <w:tc>
          <w:tcPr>
            <w:tcW w:w="34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Marketing Experience</w:t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55" name="Image1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Image1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4" w:name="i-155"/>
            <w:bookmarkEnd w:id="154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56" name="Image1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5" w:name="i-156"/>
            <w:bookmarkEnd w:id="155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57" name="Image1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Image1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6" w:name="i-157"/>
            <w:bookmarkEnd w:id="156"/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58" name="Image1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7" w:name="i-158"/>
            <w:bookmarkEnd w:id="157"/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59" name="Image1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Image1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8" w:name="i-159"/>
            <w:bookmarkEnd w:id="158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60" name="Image1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9" w:name="i-160"/>
            <w:bookmarkEnd w:id="159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61" name="Image16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Image16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0" w:name="i-161"/>
            <w:bookmarkEnd w:id="160"/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62" name="Image1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1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1" w:name="i-162"/>
            <w:bookmarkEnd w:id="161"/>
          </w:p>
        </w:tc>
        <w:tc>
          <w:tcPr>
            <w:tcW w:w="10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63" name="Image1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Image1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2" w:name="i-163"/>
            <w:bookmarkEnd w:id="162"/>
          </w:p>
        </w:tc>
      </w:tr>
      <w:tr>
        <w:trPr/>
        <w:tc>
          <w:tcPr>
            <w:tcW w:w="5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164" name="Image1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1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3" w:name="i-164"/>
            <w:bookmarkEnd w:id="163"/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Sustainability &amp; Corporate Governance</w:t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65" name="Image1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Image1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4" w:name="i-165"/>
            <w:bookmarkEnd w:id="164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66" name="Image1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5" w:name="i-166"/>
            <w:bookmarkEnd w:id="165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67" name="Image1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Image1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6" w:name="i-167"/>
            <w:bookmarkEnd w:id="166"/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68" name="Image1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7" w:name="i-168"/>
            <w:bookmarkEnd w:id="167"/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69" name="Image1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Image1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8" w:name="i-169"/>
            <w:bookmarkEnd w:id="168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70" name="Image1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9" w:name="i-170"/>
            <w:bookmarkEnd w:id="169"/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71" name="Image1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Image1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0" w:name="i-171"/>
            <w:bookmarkEnd w:id="170"/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72" name="Image1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1" w:name="i-172"/>
            <w:bookmarkEnd w:id="171"/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73" name="Image1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Image1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2" w:name="i-173"/>
            <w:bookmarkEnd w:id="172"/>
          </w:p>
        </w:tc>
      </w:tr>
      <w:tr>
        <w:trPr/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174" name="Image17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7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3" w:name="i-174"/>
            <w:bookmarkEnd w:id="173"/>
          </w:p>
        </w:tc>
        <w:tc>
          <w:tcPr>
            <w:tcW w:w="34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Supply Chain Experience</w:t>
            </w:r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75" name="Image1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Image1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4" w:name="i-175"/>
            <w:bookmarkEnd w:id="174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76" name="Image1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5" w:name="i-176"/>
            <w:bookmarkEnd w:id="175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77" name="Image1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Image1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6" w:name="i-177"/>
            <w:bookmarkEnd w:id="176"/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78" name="Image1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7" w:name="i-178"/>
            <w:bookmarkEnd w:id="177"/>
          </w:p>
        </w:tc>
        <w:tc>
          <w:tcPr>
            <w:tcW w:w="24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79" name="Image1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Image1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8" w:name="i-179"/>
            <w:bookmarkEnd w:id="178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80" name="Image18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18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9" w:name="i-180"/>
            <w:bookmarkEnd w:id="179"/>
          </w:p>
        </w:tc>
        <w:tc>
          <w:tcPr>
            <w:tcW w:w="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025" cy="73025"/>
                  <wp:effectExtent l="0" t="0" r="0" b="0"/>
                  <wp:docPr id="181" name="Image18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Image18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0" w:name="i-181"/>
            <w:bookmarkEnd w:id="180"/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82" name="Image18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18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1" w:name="i-182"/>
            <w:bookmarkEnd w:id="181"/>
          </w:p>
        </w:tc>
        <w:tc>
          <w:tcPr>
            <w:tcW w:w="10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365760"/>
                  <wp:effectExtent l="0" t="0" r="0" b="0"/>
                  <wp:docPr id="183" name="Image1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Image1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2" w:name="i-183"/>
            <w:bookmarkEnd w:id="182"/>
          </w:p>
        </w:tc>
      </w:tr>
      <w:tr>
        <w:trPr/>
        <w:tc>
          <w:tcPr>
            <w:tcW w:w="544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1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7"/>
        <w:gridCol w:w="2341"/>
        <w:gridCol w:w="172"/>
        <w:gridCol w:w="2416"/>
      </w:tblGrid>
      <w:tr>
        <w:trPr/>
        <w:tc>
          <w:tcPr>
            <w:tcW w:w="1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4610" cy="54610"/>
                  <wp:effectExtent l="0" t="0" r="0" b="0"/>
                  <wp:docPr id="184" name="Image1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1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" cy="54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3" w:name="i-184"/>
            <w:bookmarkEnd w:id="183"/>
          </w:p>
        </w:tc>
        <w:tc>
          <w:tcPr>
            <w:tcW w:w="234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Univers LT 45 Light;sans-serif" w:hAnsi="Univers LT 45 Light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Univers LT 45 Light;sans-serif" w:hAnsi="Univers LT 45 Light;sans-serif"/>
                <w:b w:val="false"/>
                <w:i w:val="false"/>
                <w:caps w:val="false"/>
                <w:smallCaps w:val="false"/>
                <w:sz w:val="14"/>
              </w:rPr>
              <w:t>Deep Knowledge or Experience</w:t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4610" cy="54610"/>
                  <wp:effectExtent l="0" t="0" r="0" b="0"/>
                  <wp:docPr id="185" name="Image1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Image1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" cy="54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4" w:name="i-185"/>
            <w:bookmarkEnd w:id="184"/>
          </w:p>
        </w:tc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Univers LT 45 Light;sans-serif" w:hAnsi="Univers LT 45 Light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Univers LT 45 Light;sans-serif" w:hAnsi="Univers LT 45 Light;sans-serif"/>
                <w:b w:val="false"/>
                <w:i w:val="false"/>
                <w:caps w:val="false"/>
                <w:smallCaps w:val="false"/>
                <w:sz w:val="14"/>
              </w:rPr>
              <w:t>Some Knowledge or Experience</w:t>
            </w:r>
          </w:p>
        </w:tc>
      </w:tr>
    </w:tbl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Experienced Board Attributes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Below is a snapshot of our current 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INDEPENDENCE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34770" cy="1207135"/>
            <wp:effectExtent l="0" t="0" r="0" b="0"/>
            <wp:docPr id="186" name="Image1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86" descr="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85" w:name="i-186"/>
      <w:bookmarkEnd w:id="185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TENURE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600200" cy="1289050"/>
            <wp:effectExtent l="0" t="0" r="0" b="0"/>
            <wp:docPr id="187" name="Image1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Image187" descr="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86" w:name="i-187"/>
      <w:bookmarkEnd w:id="186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AGE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463040" cy="1207135"/>
            <wp:effectExtent l="0" t="0" r="0" b="0"/>
            <wp:docPr id="188" name="Image1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88" descr="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87" w:name="i-188"/>
      <w:bookmarkEnd w:id="187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DIVERSITY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18945" cy="914400"/>
            <wp:effectExtent l="0" t="0" r="0" b="0"/>
            <wp:docPr id="189" name="Image1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189" descr="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88" w:name="i-189"/>
      <w:bookmarkEnd w:id="188"/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 xml:space="preserve">Creating an Experienced Board with Diversity of Tenure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believe that having directors with differing tenures is important to provide both fresh perspectives and deep experience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knowledge of the Company. Our longer-tenured directors have significant institutional knowledge and deep understanding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Company’s business, which enhances the Board’s oversight of strategy and risk. The Board believes that a mix of these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longer-tenured directors and shorter-tenured directors with fresh perspectives ensures an appropriate balance of views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insights and allows the Board as a whole to benefit.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Family Relationships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There are no family relationships between or among any of our directors and executive officers.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17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Board and Governance Matters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Director Biographies</w:t>
      </w:r>
    </w:p>
    <w:tbl>
      <w:tblPr>
        <w:tblW w:w="98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7"/>
        <w:gridCol w:w="117"/>
        <w:gridCol w:w="1443"/>
        <w:gridCol w:w="117"/>
        <w:gridCol w:w="3154"/>
        <w:gridCol w:w="109"/>
        <w:gridCol w:w="134"/>
        <w:gridCol w:w="724"/>
        <w:gridCol w:w="3021"/>
        <w:gridCol w:w="78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190" name="Image19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19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9" w:name="i-190"/>
            <w:bookmarkEnd w:id="189"/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1" w:type="dxa"/>
            <w:gridSpan w:val="4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John E. Byom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Independent Lead Director</w:t>
            </w:r>
          </w:p>
        </w:tc>
        <w:tc>
          <w:tcPr>
            <w:tcW w:w="3807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            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91" name="Image19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Image19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0" w:name="i-191"/>
            <w:bookmarkEnd w:id="190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92" name="Image19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19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1" w:name="i-192"/>
            <w:bookmarkEnd w:id="191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93" name="Image19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mage19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2" w:name="i-193"/>
            <w:bookmarkEnd w:id="192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94" name="Image19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19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3" w:name="i-194"/>
            <w:bookmarkEnd w:id="193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95" name="Image19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Image19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4" w:name="i-195"/>
            <w:bookmarkEnd w:id="194"/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1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1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Current Public Company Directorships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45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Previous Public Company Directorships</w:t>
            </w:r>
          </w:p>
        </w:tc>
        <w:tc>
          <w:tcPr>
            <w:tcW w:w="7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None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45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MGP Ingredients Inc.</w:t>
            </w:r>
          </w:p>
        </w:tc>
        <w:tc>
          <w:tcPr>
            <w:tcW w:w="7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48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Career Highlights: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Has served as a director since January 2006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Was Chief Executive Officer of Classic Provisions Inc., a specialty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foods distribution company, from October 2007 until the business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was sold and he retired in June 2019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Was previously the Chief Financial Officer of International Multifoods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Corporation. He left International Multifoods Corporation in March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2005 after 26 years, including four years as Vice President Finance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and Chief Financial Officer from March 2000 to June 2004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Was President of Multifoods Foodservice and Bakery Products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June 2004 until March 2005 after the sale of International Multifoods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Corporation to The J.M. Smucker Company in June 2004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Was President of U.S. Manufacturing from July 1999 to March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2000, and Vice President Finance and IT for the North American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Foods Division from 1993 to 1999, prior to his time as Chief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Financial Officer and as President of Multifoods Foodservice and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Bakery Products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Prior to 1993, held various positions in finance and was an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internal auditor for International Multifoods Corporation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1979 to 1981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Education: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Mr. Byom earned his B.A. in Accounting from Luther College.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9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7"/>
        <w:gridCol w:w="117"/>
        <w:gridCol w:w="1448"/>
        <w:gridCol w:w="117"/>
        <w:gridCol w:w="1580"/>
        <w:gridCol w:w="1583"/>
        <w:gridCol w:w="109"/>
        <w:gridCol w:w="150"/>
        <w:gridCol w:w="150"/>
        <w:gridCol w:w="2105"/>
        <w:gridCol w:w="2105"/>
        <w:gridCol w:w="212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196" name="Image19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9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5" w:name="i-196"/>
            <w:bookmarkEnd w:id="195"/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3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Celeste A. Clark, Ph.D.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Director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0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        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97" name="Image19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19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6" w:name="i-197"/>
            <w:bookmarkEnd w:id="196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98" name="Image19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19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7" w:name="i-198"/>
            <w:bookmarkEnd w:id="197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199" name="Image19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Image19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8" w:name="i-199"/>
            <w:bookmarkEnd w:id="198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00" name="Image20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20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9" w:name="i-200"/>
            <w:bookmarkEnd w:id="199"/>
          </w:p>
        </w:tc>
        <w:tc>
          <w:tcPr>
            <w:tcW w:w="2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3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Current Public Company Directorships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0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Previous Public Company Directorships</w:t>
            </w:r>
          </w:p>
        </w:tc>
        <w:tc>
          <w:tcPr>
            <w:tcW w:w="2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3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The Hain Celestial Group, Inc. (Better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For You CPG Products) (Nominating &amp;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Governance Committee Chair)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Darling Ingredients Inc. (Sustainability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 Chair)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0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Wells Fargo &amp; Company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Mead Johnson Nutrition Company, Inc.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Diamond Foods, Inc.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AdvancePierre Foods Holdings, Inc.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Omega Protein Corporation, Inc.</w:t>
            </w:r>
          </w:p>
        </w:tc>
        <w:tc>
          <w:tcPr>
            <w:tcW w:w="2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2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Career Highlights: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Has served as a director since February 2021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Has been the principal of Abraham Clark Consulting, LLC, a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consulting firm, since November 2011 and consults on nutrition and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health policy, regulatory affairs and leadership development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Has been an adjunct professor in the Department of Food Science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and Human Nutrition at Michigan State University since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January 2012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Serves as a trustee of the W.K. Kellogg Foundation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Served as Senior Vice President, Global Policy and External Affairs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of Kellogg Company, a food manufacturing company, and was the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Chief Sustainability Officer until she retired in 2011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Was a member of the Global Executive Management Team and had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an accomplished career spanning nearly 35 years at Kellogg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Company, in which time she was responsible for the development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and implementation of global health, nutrition and regulatory science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initiatives. In addition, she led global corporate communications,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public affairs, philanthropy and several administrative functions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2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bookmarkStart w:id="200" w:name="ib948579edd52450084163c1a9aed0873_10-8-1"/>
            <w:bookmarkEnd w:id="200"/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Recognition &amp; Certifications: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Recognized as a Director 100 by the National Association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Corporate Directors in 2023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Recognized by Savoy Magazine as one of the most influential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black directors in 2023, and by Women’s Inc as one of the most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influential female directors in 2025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She brings significant industry experience in various nutrition,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consumer products, public policy, risk management, governance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and sustainability matters to the Board.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Education: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Dr. Clark earned her Ph.D. from Michigan State University in Food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Science and in 2021, she was bestowed an honorary Ph.D. in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Humanities.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2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446"/>
        <w:gridCol w:w="826"/>
        <w:gridCol w:w="446"/>
        <w:gridCol w:w="796"/>
        <w:gridCol w:w="446"/>
        <w:gridCol w:w="1366"/>
        <w:gridCol w:w="446"/>
        <w:gridCol w:w="796"/>
        <w:gridCol w:w="446"/>
        <w:gridCol w:w="1501"/>
        <w:gridCol w:w="446"/>
        <w:gridCol w:w="96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01" name="Image20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Image20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1" w:name="i-201"/>
            <w:bookmarkEnd w:id="201"/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Leadership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02" name="Image20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20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2" w:name="i-202"/>
            <w:bookmarkEnd w:id="202"/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Finance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03" name="Image20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Image20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3" w:name="i-203"/>
            <w:bookmarkEnd w:id="203"/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Consumer Products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04" name="Image20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20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4" w:name="i-204"/>
            <w:bookmarkEnd w:id="204"/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Marketing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05" name="Image20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Image20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5" w:name="i-205"/>
            <w:bookmarkEnd w:id="205"/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  <w:t xml:space="preserve">Sustainability &amp;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  <w:t>Corporate Governance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06" name="Image20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20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6" w:name="i-206"/>
            <w:bookmarkEnd w:id="206"/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Supply Chain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Board and Governance Matters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8"/>
        <w:gridCol w:w="118"/>
        <w:gridCol w:w="1452"/>
        <w:gridCol w:w="118"/>
        <w:gridCol w:w="3173"/>
        <w:gridCol w:w="109"/>
        <w:gridCol w:w="148"/>
        <w:gridCol w:w="1447"/>
        <w:gridCol w:w="2706"/>
        <w:gridCol w:w="392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07" name="Image20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Image20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7" w:name="i-207"/>
            <w:bookmarkEnd w:id="207"/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77" w:type="dxa"/>
            <w:gridSpan w:val="4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James C. D’Arecca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Director</w:t>
            </w:r>
          </w:p>
        </w:tc>
        <w:tc>
          <w:tcPr>
            <w:tcW w:w="3098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08" name="Image2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2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8" w:name="i-208"/>
            <w:bookmarkEnd w:id="208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09" name="Image2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Image2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9" w:name="i-209"/>
            <w:bookmarkEnd w:id="209"/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7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7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Current Public Company Directorships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3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Previous Public Company Directorships</w:t>
            </w:r>
          </w:p>
        </w:tc>
        <w:tc>
          <w:tcPr>
            <w:tcW w:w="39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None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3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None</w:t>
            </w:r>
          </w:p>
        </w:tc>
        <w:tc>
          <w:tcPr>
            <w:tcW w:w="39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79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Career Highlights: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Has served as a director since August 2023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Has been Executive Vice President, Chief Financial Officer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Haemonetics Corporation, a medical technology company, since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April 2022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Previously served as Chief Financial Officer of TherapeuticsMD, Inc.,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 women’s healthcare company, from June 2020 to April 2022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Served as the Senior Vice President and Chief Accounting Officer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Allergen plc (formerly known as Actavis plc), a global pharmaceutical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company, from August 2013 until its merger with AbbVie Inc. in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May 2020, prior to joining TherapeuticsMD, Inc.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Served as Chief Accounting Officer at Bausch &amp; Lomb prior to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joining Actavis plc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93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Held finance and business development positions of increasing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responsibility at Merck &amp; Co., Inc. and Schering-Plough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Corporation earlier in his career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Began his career at PricewaterhouseCoopers LLP from 1992 to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2005, where he had an industry focus on pharmaceuticals,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medical devices, and consumer products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Education: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Mr. D’Arecca earned a Bachelor of Science in Accounting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Rutgers University and a Master of Business Administration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Columbia University. He is a Certified Public Accountant.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5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6"/>
        <w:gridCol w:w="116"/>
        <w:gridCol w:w="1426"/>
        <w:gridCol w:w="116"/>
        <w:gridCol w:w="3116"/>
        <w:gridCol w:w="109"/>
        <w:gridCol w:w="132"/>
        <w:gridCol w:w="877"/>
        <w:gridCol w:w="2837"/>
        <w:gridCol w:w="60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10" name="Image2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2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0" w:name="i-210"/>
            <w:bookmarkEnd w:id="210"/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4" w:type="dxa"/>
            <w:gridSpan w:val="4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Sheila A. Hopkins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Director</w:t>
            </w:r>
          </w:p>
        </w:tc>
        <w:tc>
          <w:tcPr>
            <w:tcW w:w="3445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        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11" name="Image2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Image2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1" w:name="i-211"/>
            <w:bookmarkEnd w:id="211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12" name="Image2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2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2" w:name="i-212"/>
            <w:bookmarkEnd w:id="212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13" name="Image2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Image2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3" w:name="i-213"/>
            <w:bookmarkEnd w:id="213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14" name="Image2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2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4" w:name="i-214"/>
            <w:bookmarkEnd w:id="214"/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7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7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Current Public Company Directorships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4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Previous Public Company Directorships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None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4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Cutera, Inc.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Warnaco, Inc.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90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Career Highlights: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Has served as a director since August 2015, retiring as of the 2026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Annual Meeting of Stockholders and will not stand for reelection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Formerly served as the Interim Chief Executive Officer of Cutera,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Inc., an energy based and aesthetic devices company, from April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2023 to August 2023; Cutera, Inc. filed Chapter 11 Bankruptcy in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March 2025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Previously served as President, Global Vision Care and Executive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Vice President of Bausch + Lomb, a healthcare company,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September 2011 until her retirement in August 2013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Worked at Colgate-Palmolive, a leading consumer products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company, where she held several senior executive positions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including Vice President and General Manager, Personal Care, Vice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President, Global Business Development and Vice President and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General Manager, Professional Oral Care, from September 1997 to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August 2011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Held significant marketing and sales positions at Procter &amp;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Gamble, American Cyanamid, and Tambrands, prior to joining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Colgate-Palmolive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4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Served on the boards of the Consumer Healthcare Products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Association and the American Dental Association Foundation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Recognition &amp; Certifications: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Certified in Cyber-Risk Oversight by the NACD - National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Association of Corporate Directors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Education: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Ms. Hopkins earned a B.A. in History from Wellesley College. 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2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446"/>
        <w:gridCol w:w="826"/>
        <w:gridCol w:w="446"/>
        <w:gridCol w:w="796"/>
        <w:gridCol w:w="446"/>
        <w:gridCol w:w="1366"/>
        <w:gridCol w:w="446"/>
        <w:gridCol w:w="796"/>
        <w:gridCol w:w="446"/>
        <w:gridCol w:w="1501"/>
        <w:gridCol w:w="446"/>
        <w:gridCol w:w="96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15" name="Image2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Image2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5" w:name="i-215"/>
            <w:bookmarkEnd w:id="215"/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Leadership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16" name="Image2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2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6" w:name="i-216"/>
            <w:bookmarkEnd w:id="216"/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Finance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17" name="Image2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Image2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7" w:name="i-217"/>
            <w:bookmarkEnd w:id="217"/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Consumer Products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18" name="Image2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2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8" w:name="i-218"/>
            <w:bookmarkEnd w:id="218"/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Marketing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19" name="Image2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2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9" w:name="i-219"/>
            <w:bookmarkEnd w:id="219"/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  <w:t xml:space="preserve">Sustainability &amp;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  <w:t>Corporate Governance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20" name="Image2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2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0" w:name="i-220"/>
            <w:bookmarkEnd w:id="220"/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Supply Chain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19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Board and Governance Matters</w:t>
      </w:r>
    </w:p>
    <w:tbl>
      <w:tblPr>
        <w:tblW w:w="99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2"/>
        <w:gridCol w:w="112"/>
        <w:gridCol w:w="1386"/>
        <w:gridCol w:w="112"/>
        <w:gridCol w:w="3030"/>
        <w:gridCol w:w="109"/>
        <w:gridCol w:w="152"/>
        <w:gridCol w:w="1284"/>
        <w:gridCol w:w="2981"/>
        <w:gridCol w:w="50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21" name="Image2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Image2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1" w:name="i-221"/>
            <w:bookmarkEnd w:id="221"/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5" w:type="dxa"/>
            <w:gridSpan w:val="4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John F. Kelly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Director</w:t>
            </w:r>
          </w:p>
        </w:tc>
        <w:tc>
          <w:tcPr>
            <w:tcW w:w="3482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    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22" name="Image2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2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2" w:name="i-222"/>
            <w:bookmarkEnd w:id="222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23" name="Image2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Image2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3" w:name="i-223"/>
            <w:bookmarkEnd w:id="223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24" name="Image2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2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4" w:name="i-224"/>
            <w:bookmarkEnd w:id="224"/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1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1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Current Public Company Directorships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5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Previous Public Company Directorships</w:t>
            </w:r>
          </w:p>
        </w:tc>
        <w:tc>
          <w:tcPr>
            <w:tcW w:w="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None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5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None</w:t>
            </w:r>
          </w:p>
        </w:tc>
        <w:tc>
          <w:tcPr>
            <w:tcW w:w="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52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Career Highlights: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Has served as a director since May 2024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Is Chair of the Board of Trustees of Wakeman Boys &amp; Girls Club,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and a member of the Worcester Polytechnic Institute Engineering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Dean’s Advisory Board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Retired in June 2022 after a 40-year career at Pfizer Inc., a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biopharmaceutical company, where he was a member of the Pfizer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Global Supply Leadership Team and a member of the Pfizer PAC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Board of Directors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Held multiple positions in his career with Pfizer starting in August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1982 and finishing as the Vice President, Quality Operations and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Environment, Health &amp; Safety; At Pfizer, Mr. Kelly’s responsibilities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included pharmaceutical and consumer product operations,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manufacturing strategy, business development, quality and EHS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18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Served as Chair of the Board of Directors of Zydus Cadila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Oncology Private Limited, a 50/50 joint venture between Pfizer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and Zydus Cadila, between March 2019 and June 2022, and prior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to that he was a director of same between December 2015 and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March 2019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Was a member of the Board of Directors of The Patterson Club,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Fairfield, CT and co-President of the Fairfield College Preparatory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School Father’s Club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Education: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Mr. Kelly earned a degree in Chemical Engineering from Worcester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Polytechnic Institute and an M.B.A. in Operations Management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Pace University.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0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8"/>
        <w:gridCol w:w="118"/>
        <w:gridCol w:w="1460"/>
        <w:gridCol w:w="118"/>
        <w:gridCol w:w="3193"/>
        <w:gridCol w:w="109"/>
        <w:gridCol w:w="150"/>
        <w:gridCol w:w="1269"/>
        <w:gridCol w:w="2945"/>
        <w:gridCol w:w="495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25" name="Image2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Image2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5" w:name="i-225"/>
            <w:bookmarkEnd w:id="225"/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1" w:type="dxa"/>
            <w:gridSpan w:val="4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Ronald M. Lombardi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Chair of the Board, CEO and President</w:t>
            </w:r>
          </w:p>
        </w:tc>
        <w:tc>
          <w:tcPr>
            <w:tcW w:w="3440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    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26" name="Image2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2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6" w:name="i-226"/>
            <w:bookmarkEnd w:id="226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27" name="Image2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Image2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7" w:name="i-227"/>
            <w:bookmarkEnd w:id="227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28" name="Image2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2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8" w:name="i-228"/>
            <w:bookmarkEnd w:id="228"/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9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5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9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5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Current Public Company Directorships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4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Previous Public Company Directorships</w:t>
            </w:r>
          </w:p>
        </w:tc>
        <w:tc>
          <w:tcPr>
            <w:tcW w:w="4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ACCO Brands Corporation (Audit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 Chair)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4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None</w:t>
            </w:r>
          </w:p>
        </w:tc>
        <w:tc>
          <w:tcPr>
            <w:tcW w:w="4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7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Career Highlights: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Elected Chair of the Board in May 2017 and has served as a director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and as President and Chief Executive Officer of the Company since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June 2015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Served as Chief Financial Officer of the Company from December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2010 until November 2015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Employed by Medtech Group Holdings, a components and contract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medical device manufacturer, as Chief Financial Officer, prior to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joining the Company, from October 2010 to December 2010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Served as the Chief Financial Officer of Waterbury International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Holdings, a specialty chemical and pest control business,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October 2009 to October 2010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Employed by Cannondale Sports Group, a sporting goods and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apparel manufacturing company, as Chief Operating Officer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August 2008 to October 2009 and as Senior Vice President and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Chief Financial Officer from March 2004 to August 2008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59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Served in various roles at Gerber Scientific Inc., including Vice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President and Chief Financial Officer of Gerber Scientific Inc.’s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Gerber Coburn Optical Division and Director of Financial Planning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and Analysis from 2000 to 2004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Previously employed by Emerson Electric, Scovill Fasteners, Inc.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and Go/Dan Industries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Education: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Mr. Lombardi earned a B.S. from Springfield College and an M.B.A.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from American International College and has been a licensed CPA.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2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446"/>
        <w:gridCol w:w="826"/>
        <w:gridCol w:w="446"/>
        <w:gridCol w:w="796"/>
        <w:gridCol w:w="446"/>
        <w:gridCol w:w="1366"/>
        <w:gridCol w:w="446"/>
        <w:gridCol w:w="796"/>
        <w:gridCol w:w="446"/>
        <w:gridCol w:w="1501"/>
        <w:gridCol w:w="446"/>
        <w:gridCol w:w="96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29" name="Image2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Image2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9" w:name="i-229"/>
            <w:bookmarkEnd w:id="229"/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Leadership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30" name="Image2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2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0" w:name="i-230"/>
            <w:bookmarkEnd w:id="230"/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Finance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31" name="Image2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Image2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1" w:name="i-231"/>
            <w:bookmarkEnd w:id="231"/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Consumer Products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32" name="Image2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2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2" w:name="i-232"/>
            <w:bookmarkEnd w:id="232"/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Marketing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33" name="Image2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Image2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3" w:name="i-233"/>
            <w:bookmarkEnd w:id="233"/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  <w:t xml:space="preserve">Sustainability &amp;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  <w:t>Corporate Governance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34" name="Image2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2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4" w:name="i-234"/>
            <w:bookmarkEnd w:id="234"/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Supply Chain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Board and Governance Matters</w:t>
      </w:r>
    </w:p>
    <w:tbl>
      <w:tblPr>
        <w:tblW w:w="98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6"/>
        <w:gridCol w:w="116"/>
        <w:gridCol w:w="1426"/>
        <w:gridCol w:w="116"/>
        <w:gridCol w:w="3116"/>
        <w:gridCol w:w="109"/>
        <w:gridCol w:w="120"/>
        <w:gridCol w:w="761"/>
        <w:gridCol w:w="3179"/>
        <w:gridCol w:w="70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35" name="Image2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Image2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5" w:name="i-235"/>
            <w:bookmarkEnd w:id="235"/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6" w:type="dxa"/>
            <w:gridSpan w:val="4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Dawn M. Zier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Director</w:t>
            </w:r>
          </w:p>
        </w:tc>
        <w:tc>
          <w:tcPr>
            <w:tcW w:w="3887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            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36" name="Image2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2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6" w:name="i-236"/>
            <w:bookmarkEnd w:id="236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37" name="Image2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Image2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7" w:name="i-237"/>
            <w:bookmarkEnd w:id="237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38" name="Image2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2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8" w:name="i-238"/>
            <w:bookmarkEnd w:id="238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39" name="Image2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Image2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9" w:name="i-239"/>
            <w:bookmarkEnd w:id="239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40" name="Image2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2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0" w:name="i-240"/>
            <w:bookmarkEnd w:id="240"/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9" w:type="dxa"/>
            <w:tcBorders>
              <w:bottom w:val="single" w:sz="2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9" w:type="dxa"/>
            <w:tcBorders>
              <w:top w:val="single" w:sz="2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Current Public Company Directorships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0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Previous Public Company Directorships</w:t>
            </w:r>
          </w:p>
        </w:tc>
        <w:tc>
          <w:tcPr>
            <w:tcW w:w="7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The Hain Celestial Group, Inc. (Better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For You CPG Products) (Board Chair)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0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Spirit Airlines, Inc. (Nominating and Governance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 Chair)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Purple Innovation, Inc.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Tivity Health, Inc.</w:t>
            </w:r>
          </w:p>
        </w:tc>
        <w:tc>
          <w:tcPr>
            <w:tcW w:w="7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90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Univers LT 45 Light;sans-serif" w:hAnsi="Univers LT 45 Light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 xml:space="preserve">Career Highlights: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Has served as a director since May 2020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Has served as a director of privately held Acorns Advisers, LLC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(Acorns) since May 2023                                                                 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Has been an Operating Partner with the ExCo Group since 2026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with whom she has served as an executive mentor/advisor to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Fortune 500 leaders since 2020.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Was formerly the President and CEO and a director of Nutrisystem,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an innovative provider of weight loss programs and digital tools,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November 2012 until its March 2019 acquisition by Tivity Health,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Inc., a leading provider of fitness and social engagement solutions)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Joined Tivity Health, serving as President and Chief Operating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Officer and a member of its Board of Directors, to help with the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integration efforts through December 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68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bookmarkStart w:id="241" w:name="i6474cfcc263f4481bdce3a2ced7f53bf_10-7-1"/>
            <w:bookmarkEnd w:id="241"/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Served in a variety of executive positions at Reader’s Digest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Association (now Trusted Media Brands), a global media and data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marketing company, including President of International from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2011-2012, President of Europe from 2009-2011, President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Global Consumer Marketing from 2008-2009 and President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North America Consumer Marketing from 2005-2008, prior to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November 2012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Recognition &amp; Certifications: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Earned a certificate from MIT, Artificial Intelligence: Implications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for Business Strategy in March 2025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Recognized as a Director 100 by the National Association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Corporate Directors in 2022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Received a Corporate Director Certification from Harvard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Business School in 2020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5"/>
                <w:u w:val="none"/>
                <w:effect w:val="none"/>
              </w:rPr>
              <w:t>Education: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Ms. Zier earned an M.B.A. and Master of Science in Engineering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from the Massachusetts Institute of Technology.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2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446"/>
        <w:gridCol w:w="826"/>
        <w:gridCol w:w="446"/>
        <w:gridCol w:w="796"/>
        <w:gridCol w:w="446"/>
        <w:gridCol w:w="1366"/>
        <w:gridCol w:w="446"/>
        <w:gridCol w:w="796"/>
        <w:gridCol w:w="446"/>
        <w:gridCol w:w="1501"/>
        <w:gridCol w:w="446"/>
        <w:gridCol w:w="96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41" name="Image2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Image2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2" w:name="i-241"/>
            <w:bookmarkEnd w:id="242"/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Leadership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42" name="Image2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2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3" w:name="i-242"/>
            <w:bookmarkEnd w:id="243"/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Finance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43" name="Image2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Image2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4" w:name="i-243"/>
            <w:bookmarkEnd w:id="244"/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Consumer Products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44" name="Image2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2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5" w:name="i-244"/>
            <w:bookmarkEnd w:id="245"/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Marketing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45" name="Image2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Image2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6" w:name="i-245"/>
            <w:bookmarkEnd w:id="246"/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  <w:t xml:space="preserve">Sustainability &amp;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4"/>
              </w:rPr>
              <w:t>Corporate Governance</w:t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" cy="228600"/>
                  <wp:effectExtent l="0" t="0" r="0" b="0"/>
                  <wp:docPr id="246" name="Image2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2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7" w:name="i-246"/>
            <w:bookmarkEnd w:id="247"/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Supply Chain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Experience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21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Board and Governance Matters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Director Independence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accordance with the NYSE’s listing requirements, the Board of Directors has evaluated, for each of the directors, his 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her independence from the Company and its management. In its evaluation, the Board of Directors reviewed whether any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transactions or relationships exist currently, or existed during the past three years, between each director and the Company 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its subsidiaries, affiliates or independent auditors. The Board of Directors also examined whether there were any transactions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or relationships between each director and members of the senior management of the Company or their affiliates. Based 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this review and the NYSE’s definition of “independence,” the Board of Directors has determined that a majority of the Board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Directors is “independent.” The independent directors currently are Mses. Clark, Hopkins and Zier and Messrs. Byom,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D’Arecca, and Kelly. Based on the NYSE’s listing requirements, the Board of Directors has also determined that each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members of our Compensation and Talent Management Committee is “independent”. The Board of Directors has also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determined that each of the members of our Audit and Finance Committee is “independent” for purposes of Rule 10A-3 under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Securities Exchange Act of 1934, as amended (the “Exchange Act”), and the NYSE’s listing requirements. The Board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Directors also determined that Ms. Zier, Mr. Byom and Mr. D’Arecca are financially literate as that qualification is interpreted by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Board and the NYSE and each is an “audit committee financial expert” as that term is defined by Securities and Exchange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Commission (the “SEC”) regulations.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Conditional Resignation Policy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If a director does not receive more votes “for” than “withhold” for his or her election in an uncontested election, then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director will promptly tender his or her resignation. The Nominating and Corporate Governance Committee, without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participation of the director who tendered his or her resignation, will then take action to accept or reject the director’s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resignation and submit its recommendation to the full Board of Directors. The full Board of Directors, without the participation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the director who tendered his or her resignation, will accept or reject the resignation and, if it chooses not to accept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resignation, will disclose its decision in a Form 8-K or similar filing with the SEC.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Board and Governance Matters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Director Nomination Process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Board Refreshment and Director Recruitment Process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Board is committed to an ongoing refreshment process and continually evaluates the composition of the Board to ensure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that it has a strong balance of skills, experience, perspective and rigorous oversight through independent judgment.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Nominating and Corporate Governance Committee identifies potential candidates for nomination as directors based 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recommendations by our executive officers or directors, as well as through professional search firms engaged on a retainer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basis. The Nominating and Corporate Governance Committee also considers properly submitted stockholder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recommendations for candidates for the Board of Directors. In evaluating candidates for nomination, the Nominating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Corporate Governance Committee will consider the factors it believes to be appropriate, which would generally include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candidate’s personal and professional integrity, business judgment, relevant experience and skills, and potential to be an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effective director in conjunction with the rest of the Board of Directors in collectively serving the interests of our stockholders.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Generally, candidates must have the key experience, qualifications and skills as discussed on page </w:t>
      </w:r>
      <w:hyperlink w:anchor="ib93d044691e741419dce32abb828e2a4_55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15</w:t>
        </w:r>
      </w:hyperlink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 this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Proxy Statement.</w:t>
      </w:r>
    </w:p>
    <w:tbl>
      <w:tblPr>
        <w:tblW w:w="90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321"/>
        <w:gridCol w:w="1244"/>
        <w:gridCol w:w="109"/>
        <w:gridCol w:w="109"/>
        <w:gridCol w:w="109"/>
        <w:gridCol w:w="1390"/>
        <w:gridCol w:w="1310"/>
        <w:gridCol w:w="109"/>
        <w:gridCol w:w="109"/>
        <w:gridCol w:w="109"/>
        <w:gridCol w:w="478"/>
        <w:gridCol w:w="478"/>
        <w:gridCol w:w="480"/>
        <w:gridCol w:w="142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vMerge w:val="restart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303530"/>
                  <wp:effectExtent l="0" t="0" r="0" b="0"/>
                  <wp:docPr id="247" name="Image2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Image2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03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8" w:name="i-247"/>
            <w:bookmarkEnd w:id="248"/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0" w:type="dxa"/>
            <w:vMerge w:val="restart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48" name="Image2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2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9" w:name="i-248"/>
            <w:bookmarkEnd w:id="249"/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vMerge w:val="restart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49" name="Image2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Image2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0" w:name="i-249"/>
            <w:bookmarkEnd w:id="250"/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6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  <w:t>01</w:t>
            </w:r>
          </w:p>
        </w:tc>
        <w:tc>
          <w:tcPr>
            <w:tcW w:w="1244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6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  <w:t>02</w:t>
            </w:r>
          </w:p>
        </w:tc>
        <w:tc>
          <w:tcPr>
            <w:tcW w:w="1310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6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  <w:t>03</w:t>
            </w:r>
          </w:p>
        </w:tc>
        <w:tc>
          <w:tcPr>
            <w:tcW w:w="1428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10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8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10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8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0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5" w:type="dxa"/>
            <w:gridSpan w:val="2"/>
            <w:vMerge w:val="restart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Board and Nominating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 determine desired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criteria, including skills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 experience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director candidates</w:t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0" w:type="dxa"/>
            <w:gridSpan w:val="2"/>
            <w:vMerge w:val="restart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Director candidates identified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by search firm, Board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members, executive officers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and stockholders</w:t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4" w:type="dxa"/>
            <w:gridSpan w:val="4"/>
            <w:vMerge w:val="restart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Nominating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Governance Committee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evaluates candidates of interest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against selection criteria,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individual characteristics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and qualifications</w:t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5" w:type="dxa"/>
            <w:gridSpan w:val="2"/>
            <w:vMerge w:val="continue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0" w:type="dxa"/>
            <w:gridSpan w:val="2"/>
            <w:vMerge w:val="continue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4" w:type="dxa"/>
            <w:gridSpan w:val="4"/>
            <w:vMerge w:val="continue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0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0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8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8" w:type="dxa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" w:type="dxa"/>
            <w:tcBorders>
              <w:top w:val="single" w:sz="4" w:space="0" w:color="1B365D"/>
              <w:left w:val="single" w:sz="4" w:space="0" w:color="1B365D"/>
              <w:bottom w:val="single" w:sz="4" w:space="0" w:color="1B365D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vMerge w:val="restart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50" name="Image2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2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1" w:name="i-250"/>
            <w:bookmarkEnd w:id="251"/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0" w:type="dxa"/>
            <w:vMerge w:val="restart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51" name="Image2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Image2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2" w:name="i-251"/>
            <w:bookmarkEnd w:id="252"/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vMerge w:val="restart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14020"/>
                  <wp:effectExtent l="0" t="0" r="0" b="0"/>
                  <wp:docPr id="252" name="Image2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Image2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3" w:name="i-252"/>
            <w:bookmarkEnd w:id="253"/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6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  <w:t>06</w:t>
            </w:r>
          </w:p>
        </w:tc>
        <w:tc>
          <w:tcPr>
            <w:tcW w:w="1244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6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  <w:t>05</w:t>
            </w:r>
          </w:p>
        </w:tc>
        <w:tc>
          <w:tcPr>
            <w:tcW w:w="1310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6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8"/>
                <w:u w:val="none"/>
                <w:effect w:val="none"/>
              </w:rPr>
              <w:t>04</w:t>
            </w:r>
          </w:p>
        </w:tc>
        <w:tc>
          <w:tcPr>
            <w:tcW w:w="1428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10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8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10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8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0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vMerge w:val="continue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5" w:type="dxa"/>
            <w:gridSpan w:val="2"/>
            <w:vMerge w:val="restart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Board votes to appoint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director candidate based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 assessment of his or 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qualifications and potential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contributions to the Board</w:t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0" w:type="dxa"/>
            <w:gridSpan w:val="2"/>
            <w:vMerge w:val="restart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Nominating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Governance Committee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discusses each director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candidate, evaluates potential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contributions to the Board as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whole and recommends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potential candidate to the Board</w:t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4" w:type="dxa"/>
            <w:gridSpan w:val="4"/>
            <w:vMerge w:val="restart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Nominating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Governance Committee Chair,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Independent Lead Director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the Chair conduct interviews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gather information;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Board members may also meet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with candidates</w:t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5" w:type="dxa"/>
            <w:gridSpan w:val="2"/>
            <w:vMerge w:val="continue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0" w:type="dxa"/>
            <w:gridSpan w:val="2"/>
            <w:vMerge w:val="continue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4" w:type="dxa"/>
            <w:gridSpan w:val="4"/>
            <w:vMerge w:val="continue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0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0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6" w:type="dxa"/>
            <w:gridSpan w:val="3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Diverse and Experienced Board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evaluating potential candidates for Board membership, the Nominating and Corporate Governance Committee considers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diversity of age, gender, race, and professional experience. The Board seeks the best qualified candidates which bring the mix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 experience that facilitates the strong strategic oversight necessary to support our business and management. As a result,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Board consists of former public company CEOs, current and former CFOs, marketing experts, supply chain experts,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governance/communications experts. The Board believes that diversity of experience is important because the various points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 view are reflective of our stakeholders and contribute to a more effective, engaged Board and better decision-making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processes.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23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Board and Governance Matters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Stockholder Recommendations for Nominees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Nominating and Corporate Governance Committee will consider as potential director nominees any individuals properly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recommended by stockholders. Recommendations concerning individuals proposed for consideration by the Nominating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Corporate Governance Committee should be addressed to Prestige Consumer Healthcare Inc., 660 White Plains Road,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Tarrytown, New York 10591, Attention: Corporate Secretary. Each recommendation should include a personal biography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suggested nominee, an indication of the background or experience that qualifies the person for consideration, and a statement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that the person has agreed to serve if nominated and elected.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Stockholders who themselves want to nominate a person for election to the Board of Directors, as contrasted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recommending a potential nominee to the Nominating and Corporate Governance Committee for its consideration, are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required to comply with the advance notice and other requirements set forth in the Company’s Amended and Restated Bylaws,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as amended (the “Amended and Restated Bylaws”), and any applicable requirements of the Exchange Act, including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information required by Rule 14a-19(b) such as a statement that the nominating stockholder intends to solicit the holders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shares representing at least 67% of the voting power of shares entitled to vote in the election of directors in support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nominee. The Nominating and Corporate Governance Committee does not evaluate potential nominees for director differently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based on whether they are recommended to the Nominating and Corporate Governance Committee by officers or directors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Company or by a stockholder.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OUR GOVERNANCE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0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975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WHAT IS CORPORATE GOVERNANCE AND HOW DOES THE COMPANY IMPLEMENT IT?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Corporate governance is a set of guidelines and policies established by the Company to ensure that our directors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all employees conduct the Company’s business in a legal, impartial and ethical manner. Your Board has a strong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commitment to sound and effective corporate governance practices. The Company’s management and the Board have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reviewed and continue to monitor our corporate governance practices considering Delaware law, U.S. federal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securities laws, the listing requirements of the NYSE and best practices.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Corporate Governance Highlights</w:t>
      </w:r>
    </w:p>
    <w:tbl>
      <w:tblPr>
        <w:tblW w:w="50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480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Board Accountability.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All directors stand for election each year subject to a resignation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policy if they do not receive more votes “for” than “withhold.”.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Director Independence.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6 of 7 directors are independent and all members of each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committee are independent.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Board Leadership.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Annual assessment of Board leadership structure and strong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Lead Independent Director role appointed each year.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Director Engagement.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Robust attendance for Board and committee meetings in 2026;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all directors attended more than 75% of the meetings of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Board and the committees on which they served.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Board Diversity of Experience.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Diverse and experienced Board comprised of individuals with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different backgrounds, relevant experiences, ages, gender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ethnic diversity.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Regular Executive Sessions.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All regularly scheduled Board and committee meetings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provide an opportunity for the directors to meet without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management present.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Board and Committee Self-Evaluations.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Board and each of its committees conducts a self-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evaluation of its performance on an annual basis, with individual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assignment and follow-up for any items identified as a part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continuous improvement efforts.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472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No Overboarding.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Non-employee directors are limited to no more than four public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company boards in addition to the Company, and the CEO is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limited to one board in addition to the Company.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Director Access and Resources.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Board members have significant interaction with and direct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access to senior business leaders and outside experts.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Stockholder Rights.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Stockholders may act by written consent.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Regular Review of Key Governance Documents.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Annual review of Committee Charters, Corporate Governance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Guidelines and Code of Conduct and Ethics.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Robust Code of Conduct and Ethics.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Code of Conduct and Ethics promotes honest and ethical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conduct throughout the Company and all employees receive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regular online training.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Robust Risk Management Oversight.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The Board and designated committees exercise oversight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management’s risk assessment and management processes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and findings and oversee the Corporate Responsibility strategy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initiatives.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25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Board Leadership Structure and Composition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Ronald M. Lombardi serves as Chair of the Board, and John E. Byom currently serves as the Lead Independent Director.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 Board of Directors currently has three standing committees: Audit and Finance Committee, Compensation and Talent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Management Committee and Nominating and Corporate Governance Committee. Each year at the meeting of the Board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Directors immediately following the Annual Meeting of Stockholders, the Lead Independent Director designation is reviewed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reaffirmed by the independent directors, and the roles of Committee Chairs and the size and composition of each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committee are reviewed by the Nominating and Corporate Governance Committee and set by the full Board with consideration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Committee's recommendation.</w:t>
      </w:r>
      <w:r>
        <w:rPr>
          <w:caps w:val="false"/>
          <w:smallCaps w:val="false"/>
        </w:rPr>
        <w:t xml:space="preserve"> 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Board of Director Practice Highlights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86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9"/>
        <w:gridCol w:w="4471"/>
      </w:tblGrid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2880"/>
                  <wp:effectExtent l="0" t="0" r="0" b="0"/>
                  <wp:docPr id="253" name="Image2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Image2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4" w:name="i-253"/>
            <w:bookmarkEnd w:id="254"/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Annual Election of Directors.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All directors stand for election on an annual basis.</w:t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2880"/>
                  <wp:effectExtent l="0" t="0" r="0" b="0"/>
                  <wp:docPr id="254" name="Image2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2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5" w:name="i-254"/>
            <w:bookmarkEnd w:id="255"/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Majority Voting in Uncontested Director Elections.</w:t>
            </w:r>
            <w:r>
              <w:rPr>
                <w:caps w:val="false"/>
                <w:smallCaps w:val="fals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Any director nominee must resign if they do not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receive more votes “for” than “withhold” of those cast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in an uncontested election. The Board will then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determine whether to accept the resignation 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disclose any decision not to accept the resignation.</w:t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2880"/>
                  <wp:effectExtent l="0" t="0" r="0" b="0"/>
                  <wp:docPr id="255" name="Image2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Image2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6" w:name="i-255"/>
            <w:bookmarkEnd w:id="256"/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Director Independence.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6 out of 7 directors are independent (all directors are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independent other than the CEO; fully independent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Audit and Finance Committee, Compensation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Talent Management Committee and Nominating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Corporate Governance Committee).</w:t>
            </w:r>
          </w:p>
        </w:tc>
      </w:tr>
    </w:tbl>
    <w:tbl>
      <w:tblPr>
        <w:tblW w:w="50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9"/>
        <w:gridCol w:w="4636"/>
      </w:tblGrid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2880"/>
                  <wp:effectExtent l="0" t="0" r="0" b="0"/>
                  <wp:docPr id="256" name="Image2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2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7" w:name="i-256"/>
            <w:bookmarkEnd w:id="257"/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Independent Board Leadership.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Our Board of Directors maintains a Lead Independent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Director who meets regularly with our independent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members in executive session. The Lead Independent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Director designation is reviewed by the Nominating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Corporate Governance Committee and set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annually by the independent directors at the meeting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of the Board following the Annual Meeting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Stockholders.</w:t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2880"/>
                  <wp:effectExtent l="0" t="0" r="0" b="0"/>
                  <wp:docPr id="257" name="Image2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Image2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8" w:name="i-257"/>
            <w:bookmarkEnd w:id="258"/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Board Refreshment.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4 of our 5 independent Board nominees have joined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last 6 years and have expanded the Board’s scope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of experience.</w:t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2880"/>
                  <wp:effectExtent l="0" t="0" r="0" b="0"/>
                  <wp:docPr id="258" name="Image2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2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9" w:name="i-258"/>
            <w:bookmarkEnd w:id="259"/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Financial Literacy for Audit Committee.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Three current Audit and Finance Committee members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are “audit committee financial experts” under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SEC rules.</w:t>
            </w:r>
          </w:p>
        </w:tc>
      </w:tr>
    </w:tbl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 xml:space="preserve">The Role of the Chair of the Board and the Independent 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Lead Director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Board of Directors appointed Mr. Lombardi as the Chair of the Board in May of 2017.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John E. Byom currently serves as Lead Independent Director. The Board of Directors considered the structure of its leadership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determined that, based on experience and efficiency, it would strengthen the Company’s ability to meet its strategic vision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create shareholder value by appointing Mr. Lombardi to the combined role of CEO and Chair. The Board appointed Mr.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Byom as its independent and non-executive Lead Independent Director to help ensure the independent directors continue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 effective oversight of Company management and key issues related to strategy, risk and integrity.</w:t>
      </w:r>
    </w:p>
    <w:tbl>
      <w:tblPr>
        <w:tblW w:w="101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"/>
        <w:gridCol w:w="169"/>
        <w:gridCol w:w="169"/>
        <w:gridCol w:w="2080"/>
        <w:gridCol w:w="169"/>
        <w:gridCol w:w="7389"/>
      </w:tblGrid>
      <w:tr>
        <w:trPr/>
        <w:tc>
          <w:tcPr>
            <w:tcW w:w="1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59" name="Image2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Image2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0" w:name="i-259"/>
            <w:bookmarkEnd w:id="260"/>
          </w:p>
        </w:tc>
        <w:tc>
          <w:tcPr>
            <w:tcW w:w="1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Ronald M. Lombardi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Chair of the Board, President and Chief Executive Officer</w:t>
            </w:r>
          </w:p>
        </w:tc>
      </w:tr>
      <w:tr>
        <w:trPr/>
        <w:tc>
          <w:tcPr>
            <w:tcW w:w="1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68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Board of Directors believes the most effective leadership structure for the Company at this time is one with a combined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Chair and CEO, coupled with an independent Lead Director. Key responsibilities of the Chair include: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set meeting agendas and Board schedules in coordination with the Lead Director;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prepare meeting materials and ensure that key issues and recommendations are brought to the attention of the Board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management;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identify and lead Board discussions on important matters related to our business operations and related risk;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promote a cohesive vision and strategy for the Company, enhancing effective execution;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provide in-depth knowledge of strategic priorities and operations;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facilitate effective communication between management and the Board. </w:t>
            </w:r>
          </w:p>
        </w:tc>
      </w:tr>
      <w:tr>
        <w:trPr/>
        <w:tc>
          <w:tcPr>
            <w:tcW w:w="1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6"/>
        <w:gridCol w:w="269"/>
        <w:gridCol w:w="269"/>
        <w:gridCol w:w="3310"/>
        <w:gridCol w:w="269"/>
        <w:gridCol w:w="5782"/>
      </w:tblGrid>
      <w:tr>
        <w:trPr/>
        <w:tc>
          <w:tcPr>
            <w:tcW w:w="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6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60" name="Image2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2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1" w:name="i-260"/>
            <w:bookmarkEnd w:id="261"/>
          </w:p>
        </w:tc>
        <w:tc>
          <w:tcPr>
            <w:tcW w:w="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John E. Byom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Lead Independent Director</w:t>
            </w:r>
          </w:p>
        </w:tc>
      </w:tr>
      <w:tr>
        <w:trPr/>
        <w:tc>
          <w:tcPr>
            <w:tcW w:w="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Lead Independent Director acts in a leadership capacity with respect to the Board of Directors and consults with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Chair of the Board between meetings of the Board of Directors. The Board created the Lead Independent Director role as an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integral part of a leadership structure that promotes strong, independent oversight of the Company’s management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affairs. Key responsibilities of the Lead Independent Director include: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assist the Board, the Chief Executive Officer and other members of management in promoting compliance with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implementation of the Corporate Governance Guidelines;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preside at the executive sessions of the independent directors and have the authority to call additional executive sessions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or meetings of the independent directors;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preside at Board meetings in the Chair’s absence;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review and approve information sent to the Board;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review and approve meeting agendas for the Board and approve meeting schedules to ensure sufficient time for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discussion of all agenda items;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facilitate communications between employees, stockholders and others with the independent directors;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be available for consultation and direct communication with major stockholders if requested; and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monitor and evaluate, along with the members of the Compensation and Talent Management Committee and the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independent directors, the performance of the Chief Executive Officer.</w:t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27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Committees of the Board</w:t>
      </w:r>
    </w:p>
    <w:tbl>
      <w:tblPr>
        <w:tblW w:w="939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871"/>
        <w:gridCol w:w="109"/>
        <w:gridCol w:w="109"/>
        <w:gridCol w:w="802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100%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shd w:fill="EDEFF2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As required by the NYSE, all members of the Audit and Finance, Compensation and Talent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Management and Nominating and Corporate Governance Committees are independent directors.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26"/>
        <w:gridCol w:w="1801"/>
      </w:tblGrid>
      <w:tr>
        <w:trPr/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6" w:type="dxa"/>
            <w:tcBorders>
              <w:top w:val="single" w:sz="4" w:space="0" w:color="1B365D"/>
              <w:left w:val="single" w:sz="4" w:space="0" w:color="1B365D"/>
            </w:tcBorders>
            <w:shd w:fill="1B365D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>
              <w:top w:val="single" w:sz="4" w:space="0" w:color="1B365D"/>
              <w:right w:val="single" w:sz="4" w:space="0" w:color="1B365D"/>
            </w:tcBorders>
            <w:shd w:fill="1B365D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6" w:type="dxa"/>
            <w:tcBorders>
              <w:left w:val="single" w:sz="4" w:space="0" w:color="1B365D"/>
            </w:tcBorders>
            <w:shd w:fill="1B365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Audit and Finance Committee</w:t>
            </w:r>
          </w:p>
        </w:tc>
        <w:tc>
          <w:tcPr>
            <w:tcW w:w="1801" w:type="dxa"/>
            <w:tcBorders>
              <w:right w:val="single" w:sz="4" w:space="0" w:color="1B365D"/>
            </w:tcBorders>
            <w:shd w:fill="1B365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Meetings in 2026: 4</w:t>
            </w:r>
          </w:p>
        </w:tc>
      </w:tr>
      <w:tr>
        <w:trPr/>
        <w:tc>
          <w:tcPr>
            <w:tcW w:w="3226" w:type="dxa"/>
            <w:tcBorders>
              <w:left w:val="single" w:sz="4" w:space="0" w:color="1B365D"/>
              <w:bottom w:val="single" w:sz="4" w:space="0" w:color="1B365D"/>
            </w:tcBorders>
            <w:shd w:fill="1B365D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>
              <w:bottom w:val="single" w:sz="4" w:space="0" w:color="1B365D"/>
              <w:right w:val="single" w:sz="4" w:space="0" w:color="1B365D"/>
            </w:tcBorders>
            <w:shd w:fill="1B365D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648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86"/>
        <w:gridCol w:w="1526"/>
        <w:gridCol w:w="1606"/>
        <w:gridCol w:w="1571"/>
      </w:tblGrid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61" name="Image26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Image26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2" w:name="i-261"/>
            <w:bookmarkEnd w:id="262"/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62" name="Image2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Image2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3" w:name="i-262"/>
            <w:bookmarkEnd w:id="263"/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63" name="Image2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Image2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4" w:name="i-263"/>
            <w:bookmarkEnd w:id="264"/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64" name="Image2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2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5" w:name="i-264"/>
            <w:bookmarkEnd w:id="265"/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James C. D’Arecca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(Chair)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John E. Byom</w:t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Sheila A. Hopkins</w:t>
            </w:r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Dawn M. Zier</w:t>
            </w:r>
          </w:p>
        </w:tc>
      </w:tr>
      <w:tr>
        <w:trPr/>
        <w:tc>
          <w:tcPr>
            <w:tcW w:w="178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Primary Responsibilities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Audit and Finance Committee is responsible for, among other things: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appointment, compensation, retention and oversight of the work of the independent registered public accounting firm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engaged for the purpose of preparing and issuing an audit opinion on our annual financial statements;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reviewing the independence of the independent registered public accounting firm and taking, or recommending that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take, appropriate action to oversee their independence;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approving, in advance, all audit and non-audit services to be performed by the independent registered public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 firm;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overseeing our accounting and financial reporting processes and the audits of our financial statements;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establishing procedures for the receipt, retention and treatment of complaints received by us regarding accounting, internal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control or auditing matters and the confidential, anonymous submission by our employees of concerns regarding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questionable accounting or auditing matters;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engaging independent counsel and other advisers as the Audit and Finance Committee deems necessary;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determining compensation of advisors hired by the Audit and Finance Committee and ordinary administrative expenses;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providing advice and counsel to management on financial strategy, capital structure and capital allocation;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reviewing and assessing the adequacy of the Audit and Finance Committee’s formal written charter on an annual basis;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reviewing policies for risk assessment and risk management, including meeting with management at least annually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review the Company’s strategic, enterprise risk exposures, concentrations and mitigation measures undertaken by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to monitor and control those exposures;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reviewing policies with respect to the Company’s information technology (IT) systems, privacy, information governance,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artificial intelligence (AI) and cybersecurity management, including meeting with management at least annually to review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Company’s IT security program, compliance and controls with the Chief Information Security Officer, and the steps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has taken to monitor and mitigate such cyber and privacy exposures;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oversight of the impact of new and proposed environmental disclosure laws and regulatory requirements, filings, controls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procedures;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handling such other matters as are specifically delegated to the Audit and Finance Committee by the Board of Directors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time to time.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Board of Directors adopted a written charter for our Audit and Finance Committee, which is available at the “Investors” tab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on our website at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www.prestigeconsumerhealthcare.com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is also available in print to any stockholder or other interested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party who makes such a request in writing to the Company’s Corporate Secretary. PricewaterhouseCoopers LLP currently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serves as our independent registered public accounting firm. The Audit and Finance Committee met four times during 2026.</w:t>
      </w:r>
    </w:p>
    <w:tbl>
      <w:tblPr>
        <w:tblW w:w="72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1"/>
        <w:gridCol w:w="1801"/>
      </w:tblGrid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4" w:space="0" w:color="1B365D"/>
              <w:left w:val="single" w:sz="4" w:space="0" w:color="1B365D"/>
            </w:tcBorders>
            <w:shd w:fill="1B365D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>
              <w:top w:val="single" w:sz="4" w:space="0" w:color="1B365D"/>
              <w:right w:val="single" w:sz="4" w:space="0" w:color="1B365D"/>
            </w:tcBorders>
            <w:shd w:fill="1B365D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left w:val="single" w:sz="4" w:space="0" w:color="1B365D"/>
            </w:tcBorders>
            <w:shd w:fill="1B365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Compensation and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Talent Management Committee</w:t>
            </w:r>
          </w:p>
        </w:tc>
        <w:tc>
          <w:tcPr>
            <w:tcW w:w="1801" w:type="dxa"/>
            <w:tcBorders>
              <w:right w:val="single" w:sz="4" w:space="0" w:color="1B365D"/>
            </w:tcBorders>
            <w:shd w:fill="1B365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Meetings in 2026: 6</w:t>
            </w:r>
          </w:p>
        </w:tc>
      </w:tr>
      <w:tr>
        <w:trPr/>
        <w:tc>
          <w:tcPr>
            <w:tcW w:w="5401" w:type="dxa"/>
            <w:tcBorders>
              <w:left w:val="single" w:sz="4" w:space="0" w:color="1B365D"/>
              <w:bottom w:val="single" w:sz="4" w:space="0" w:color="1B365D"/>
            </w:tcBorders>
            <w:shd w:fill="1B365D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>
              <w:bottom w:val="single" w:sz="4" w:space="0" w:color="1B365D"/>
              <w:right w:val="single" w:sz="4" w:space="0" w:color="1B365D"/>
            </w:tcBorders>
            <w:shd w:fill="1B365D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61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526"/>
        <w:gridCol w:w="1526"/>
        <w:gridCol w:w="157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65" name="Image2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Image2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6" w:name="i-265"/>
            <w:bookmarkEnd w:id="266"/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66" name="Image2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2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7" w:name="i-266"/>
            <w:bookmarkEnd w:id="267"/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67" name="Image2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Image2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8" w:name="i-267"/>
            <w:bookmarkEnd w:id="268"/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68" name="Image2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2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9" w:name="i-268"/>
            <w:bookmarkEnd w:id="269"/>
          </w:p>
        </w:tc>
      </w:tr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Dawn M. Zier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(Chair)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John E. Byom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Celeste A. Clark</w:t>
            </w:r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John F. Kelly</w:t>
            </w:r>
          </w:p>
        </w:tc>
      </w:tr>
      <w:tr>
        <w:trPr/>
        <w:tc>
          <w:tcPr>
            <w:tcW w:w="154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Primary Responsibilities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Compensation and Talent Management Committee is responsible for, among other things: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determining the compensation and benefits of all our executive officers;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recommending to the Board of Directors the compensation for non-employee directors;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reviewing our compensation and benefit plans to ensure that they meet corporate objectives, as well as evaluating the risk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associated with the compensation and benefit plans;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administering our stock plans and other incentive compensation plans;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approving the annual corporate goals and objectives of the CEO and executive officers and evaluating their performance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against those goals and objectives;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reviewing succession planning for senior management and, along with the Nominating and Corporate Governance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Committee, for the CEO;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oversight of the development, implementation, and effectiveness of the Company’s policies and strategies related to its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human capital management, including matters related to equal opportunity and talent management;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handling such other matters as are specifically delegated to the Compensation and Talent Management Committee by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from time to time.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Board of Directors adopted a written charter for our Compensation and Talent Management Committee, which is available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 the “Investors” tab on our website at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www.prestigeconsumerhealthcare.com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is also available in print to any stockholder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or other interested party who makes such a request in writing to the Company’s Corporate Secretary. Pursuant to the charter,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may delegate its authority and duties to one or more subcommittees,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individual members of the Compensation and Talent Management Committee, other members of the Board or management,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as it deems appropriate, in accordance with applicable laws and regulations. In addition, the Compensation and Talent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Management Committee may, in its sole discretion and at the Company’s expense, retain and terminate such independent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consultants or experts as it deems necessary or appropriate in the performance of its duties.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Compensation and Talent Management Committee met six times during 2026.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29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 xml:space="preserve">Compensation and Talent Management Committee Interlocks and 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Insider Participation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2026, John E. Byom, Celeste A. Clark, John F. Kelly and Dawn M. Zier served as members of the Compensation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Talent Management Committee. During 2026, no member of the Compensation and Talent Management Committee served 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 officer or employee of the Company or its subsidiaries, was formerly an officer of the Company or its subsidiaries,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or entered into any transactions with the Company or its subsidiaries that would require disclosure under applicable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SEC regulations.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During 2026, none of our executive officers served as a member of the compensation committee or on the board of directors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another entity, any of whose executive officers served on our Compensation and Talent Management Committee or on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Board of Directors.</w:t>
      </w:r>
    </w:p>
    <w:tbl>
      <w:tblPr>
        <w:tblW w:w="72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46"/>
        <w:gridCol w:w="1801"/>
      </w:tblGrid>
      <w:tr>
        <w:trPr/>
        <w:tc>
          <w:tcPr>
            <w:tcW w:w="5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6" w:type="dxa"/>
            <w:tcBorders>
              <w:top w:val="single" w:sz="4" w:space="0" w:color="1B365D"/>
              <w:left w:val="single" w:sz="4" w:space="0" w:color="1B365D"/>
            </w:tcBorders>
            <w:shd w:fill="1B365D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>
              <w:top w:val="single" w:sz="4" w:space="0" w:color="1B365D"/>
              <w:right w:val="single" w:sz="4" w:space="0" w:color="1B365D"/>
            </w:tcBorders>
            <w:shd w:fill="1B365D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46" w:type="dxa"/>
            <w:tcBorders>
              <w:left w:val="single" w:sz="4" w:space="0" w:color="1B365D"/>
            </w:tcBorders>
            <w:shd w:fill="1B365D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Nominating and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Corporate Governance Committee</w:t>
            </w:r>
          </w:p>
        </w:tc>
        <w:tc>
          <w:tcPr>
            <w:tcW w:w="1801" w:type="dxa"/>
            <w:tcBorders>
              <w:right w:val="single" w:sz="4" w:space="0" w:color="1B365D"/>
            </w:tcBorders>
            <w:shd w:fill="1B365D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Meetings in 2026: 4</w:t>
            </w:r>
          </w:p>
        </w:tc>
      </w:tr>
      <w:tr>
        <w:trPr/>
        <w:tc>
          <w:tcPr>
            <w:tcW w:w="5446" w:type="dxa"/>
            <w:tcBorders>
              <w:left w:val="single" w:sz="4" w:space="0" w:color="1B365D"/>
              <w:bottom w:val="single" w:sz="4" w:space="0" w:color="1B365D"/>
            </w:tcBorders>
            <w:shd w:fill="1B365D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>
              <w:bottom w:val="single" w:sz="4" w:space="0" w:color="1B365D"/>
              <w:right w:val="single" w:sz="4" w:space="0" w:color="1B365D"/>
            </w:tcBorders>
            <w:shd w:fill="1B365D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648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771"/>
        <w:gridCol w:w="1606"/>
        <w:gridCol w:w="157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69" name="Image2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Image2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0" w:name="i-269"/>
            <w:bookmarkEnd w:id="270"/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70" name="Image2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2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1" w:name="i-270"/>
            <w:bookmarkEnd w:id="271"/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71" name="Image2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Image2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2" w:name="i-271"/>
            <w:bookmarkEnd w:id="272"/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272" name="Image2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2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3" w:name="i-272"/>
            <w:bookmarkEnd w:id="273"/>
          </w:p>
        </w:tc>
      </w:tr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Celeste A. Clark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(Chair)</w:t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James C. D’Arecca</w:t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Sheila A. Hopkins</w:t>
            </w:r>
          </w:p>
        </w:tc>
        <w:tc>
          <w:tcPr>
            <w:tcW w:w="1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John F. Kelly</w:t>
            </w:r>
          </w:p>
        </w:tc>
      </w:tr>
      <w:tr>
        <w:trPr/>
        <w:tc>
          <w:tcPr>
            <w:tcW w:w="154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Primary Responsibilities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Nominating and Corporate Governance Committee is responsible for, among other things: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selecting, and recommending to the Board of Directors for selection, nominees for election to the Board of Directors;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making recommendations to the Board of Directors regarding the size and composition of the Board of Directors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its committees;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considering and making recommendations to the Board of Directors on questions of independence and possible conflicts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 of members of our Board and executive officers in accordance with the Corporate Governance Guidelines;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monitoring our performance under our principles of corporate governance;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monitoring risks related to its areas of corporate responsibility and governance, including, along with the Audit and Finance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Committee, the Company’s Code of Conduct and Ethics;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reviewing succession planning and refreshment for the Board;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succession planning for the CEO together with the Compensation and Talent Management Committee;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oversight of the Company’s responsibilities as a corporate citizen pertaining to corporate social responsibility and global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sustainability, including environmental, social and corporate governance policies and practices, responsible sourcing,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community impact and corporate reputation;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handling such other matters as are specifically delegated to the Nominating and Corporate Governance Committee by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from time to time.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Board of Directors adopted a written charter for our Nominating and Corporate Governance Committee, which is available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 the “Investors” tab on our website at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www.prestigeconsumerhealthcare.com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is also available in print to any stockholder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or other interested party who makes such a request in writing to the Company’s Corporate Secretary. The Nominating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Corporate Governance Committee met four times during 2026.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The Board’s Role and Responsibilities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Oversight of Strategy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Board plays a crucial role in overseeing our long-term corporate strategy, approving strategic plans, monitoring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performance with key metrics, allocating resources effectively, and making informed investment decisions. Each year,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Board holds a strategic planning session with members of Prestige’s senior leadership who present and solicit guidance 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both the Company’s strategic long-range plan as well as its annual operating plan. At subsequent meetings, the Board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continues to review the Company’s progress against the plans and will review specific strategic initiatives that may be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proposed during the year. The Board is continuously engaged in providing oversight and independent business judgment 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strategic issues that are most important to the Company.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4"/>
        <w:gridCol w:w="277"/>
        <w:gridCol w:w="1700"/>
        <w:gridCol w:w="327"/>
        <w:gridCol w:w="1409"/>
        <w:gridCol w:w="293"/>
        <w:gridCol w:w="1318"/>
        <w:gridCol w:w="1698"/>
        <w:gridCol w:w="353"/>
        <w:gridCol w:w="1564"/>
        <w:gridCol w:w="325"/>
        <w:gridCol w:w="257"/>
        <w:gridCol w:w="370"/>
      </w:tblGrid>
      <w:tr>
        <w:trPr/>
        <w:tc>
          <w:tcPr>
            <w:tcW w:w="3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59715" cy="301625"/>
                  <wp:effectExtent l="0" t="0" r="0" b="0"/>
                  <wp:docPr id="273" name="Image2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Image2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15" cy="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4" w:name="i-273"/>
            <w:bookmarkEnd w:id="274"/>
          </w:p>
        </w:tc>
        <w:tc>
          <w:tcPr>
            <w:tcW w:w="169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4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>
              <w:top w:val="single" w:sz="4" w:space="0" w:color="A6192E"/>
              <w:left w:val="single" w:sz="4" w:space="0" w:color="A6192E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" w:type="dxa"/>
            <w:tcBorders>
              <w:top w:val="single" w:sz="4" w:space="0" w:color="A6192E"/>
              <w:right w:val="single" w:sz="4" w:space="0" w:color="A6192E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4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4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9" w:type="dxa"/>
            <w:gridSpan w:val="4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 xml:space="preserve">The Board is committed to oversight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 xml:space="preserve">the Company’s business strategy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 xml:space="preserve">strategic planning, including work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 xml:space="preserve">embedded in the Board committees,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 xml:space="preserve">regular Board meetings and a dedicated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meeting each year to focus on strategy.</w:t>
            </w:r>
          </w:p>
        </w:tc>
        <w:tc>
          <w:tcPr>
            <w:tcW w:w="5258" w:type="dxa"/>
            <w:gridSpan w:val="5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This ongoing effort enables the Board to focus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Company performance over the short, intermediate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long term, as well as the quality of operations. In addition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 financial and operational performance, non-financial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measures, including sustainability goals, are discussed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regularly by the Board and Board committees.</w:t>
            </w:r>
          </w:p>
        </w:tc>
        <w:tc>
          <w:tcPr>
            <w:tcW w:w="257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11150" cy="155575"/>
                  <wp:effectExtent l="0" t="0" r="0" b="0"/>
                  <wp:docPr id="274" name="Image27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Image27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5" w:name="i-274"/>
            <w:bookmarkEnd w:id="275"/>
          </w:p>
        </w:tc>
        <w:tc>
          <w:tcPr>
            <w:tcW w:w="3729" w:type="dxa"/>
            <w:gridSpan w:val="4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258" w:type="dxa"/>
            <w:gridSpan w:val="5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11150" cy="155575"/>
                  <wp:effectExtent l="0" t="0" r="0" b="0"/>
                  <wp:docPr id="275" name="Image2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Image2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1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6" w:name="i-275"/>
            <w:bookmarkEnd w:id="276"/>
          </w:p>
        </w:tc>
      </w:tr>
      <w:tr>
        <w:trPr/>
        <w:tc>
          <w:tcPr>
            <w:tcW w:w="314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9" w:type="dxa"/>
            <w:gridSpan w:val="4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258" w:type="dxa"/>
            <w:gridSpan w:val="5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7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4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4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>
              <w:left w:val="single" w:sz="4" w:space="0" w:color="A6192E"/>
              <w:bottom w:val="single" w:sz="4" w:space="0" w:color="A6192E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0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99720" cy="265430"/>
                  <wp:effectExtent l="0" t="0" r="0" b="0"/>
                  <wp:docPr id="276" name="Image2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Image2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265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7" w:name="i-276"/>
            <w:bookmarkEnd w:id="277"/>
          </w:p>
        </w:tc>
        <w:tc>
          <w:tcPr>
            <w:tcW w:w="32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5590" cy="274320"/>
                  <wp:effectExtent l="0" t="0" r="0" b="0"/>
                  <wp:docPr id="277" name="Image2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Image2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9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8" w:name="i-277"/>
            <w:bookmarkEnd w:id="278"/>
          </w:p>
        </w:tc>
        <w:tc>
          <w:tcPr>
            <w:tcW w:w="29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74320"/>
                  <wp:effectExtent l="0" t="0" r="0" b="0"/>
                  <wp:docPr id="278" name="Image2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2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9" w:name="i-278"/>
            <w:bookmarkEnd w:id="279"/>
          </w:p>
        </w:tc>
        <w:tc>
          <w:tcPr>
            <w:tcW w:w="35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269240"/>
                  <wp:effectExtent l="0" t="0" r="0" b="0"/>
                  <wp:docPr id="279" name="Image2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Image2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6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0" w:name="i-279"/>
            <w:bookmarkEnd w:id="280"/>
          </w:p>
        </w:tc>
        <w:tc>
          <w:tcPr>
            <w:tcW w:w="32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" w:type="dxa"/>
            <w:tcBorders>
              <w:bottom w:val="single" w:sz="4" w:space="0" w:color="A6192E"/>
              <w:right w:val="single" w:sz="4" w:space="0" w:color="A6192E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27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25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Holds a two-day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strategy session,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including presentations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from, and engagement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with, the Senior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Leadership Team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other senior executives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across the Company</w:t>
            </w:r>
          </w:p>
        </w:tc>
        <w:tc>
          <w:tcPr>
            <w:tcW w:w="302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bookmarkStart w:id="281" w:name="i4c454f15eb8e4953a2c8d412bf9bec12_10-4-1"/>
            <w:bookmarkEnd w:id="281"/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Routinely engages with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senior management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critical business matters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that tie to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Company's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overall strategy</w:t>
            </w:r>
          </w:p>
        </w:tc>
        <w:tc>
          <w:tcPr>
            <w:tcW w:w="205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Periodically travels 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Company’s facilities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to obtain a first-hand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look at the Company’s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operations</w:t>
            </w:r>
          </w:p>
        </w:tc>
        <w:tc>
          <w:tcPr>
            <w:tcW w:w="188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Regularly meets with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next generation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leadership to ensure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pipeline remains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diverse and inclusive</w:t>
            </w:r>
          </w:p>
        </w:tc>
        <w:tc>
          <w:tcPr>
            <w:tcW w:w="2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31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 xml:space="preserve">Risk Oversight and Risk Management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Board is actively involved in oversight of the significant risks affecting our business. The Board and its committees’ risk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oversight activities are informed by our management risk assessment and risk management processes. Our Board monitors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“tone at the top” and risk culture and oversees emerging strategic risks. Risk management is overseen by our Board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through the Board’s committees. Each committee provides regular reports to the Board regarding matters reviewed by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their committee.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73"/>
        <w:gridCol w:w="132"/>
        <w:gridCol w:w="132"/>
        <w:gridCol w:w="139"/>
        <w:gridCol w:w="139"/>
        <w:gridCol w:w="513"/>
        <w:gridCol w:w="640"/>
        <w:gridCol w:w="640"/>
        <w:gridCol w:w="518"/>
        <w:gridCol w:w="139"/>
        <w:gridCol w:w="139"/>
        <w:gridCol w:w="132"/>
        <w:gridCol w:w="132"/>
        <w:gridCol w:w="3337"/>
      </w:tblGrid>
      <w:tr>
        <w:trPr/>
        <w:tc>
          <w:tcPr>
            <w:tcW w:w="34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1" w:type="dxa"/>
            <w:gridSpan w:val="4"/>
            <w:vMerge w:val="restart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Board Oversight</w:t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top w:val="single" w:sz="4" w:space="0" w:color="546886"/>
              <w:left w:val="single" w:sz="4" w:space="0" w:color="546886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1" w:type="dxa"/>
            <w:gridSpan w:val="4"/>
            <w:vMerge w:val="continue"/>
            <w:tcBorders/>
            <w:shd w:fill="1B365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top w:val="single" w:sz="4" w:space="0" w:color="546886"/>
              <w:right w:val="single" w:sz="4" w:space="0" w:color="546886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right w:val="single" w:sz="4" w:space="0" w:color="546886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4"/>
            <w:tcBorders>
              <w:left w:val="single" w:sz="4" w:space="0" w:color="546886"/>
              <w:right w:val="single" w:sz="4" w:space="0" w:color="546886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The Board implements its risk oversight function both as a whole and through its committees. Throughout the year, the Board, including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through executive session, and the committees to which it has delegated responsibility, conduct risk assessments and discuss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identified risks and how to mitigate such risks.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Board reviews risks to the Company strategy and operations.</w:t>
            </w:r>
          </w:p>
        </w:tc>
      </w:tr>
      <w:tr>
        <w:trPr/>
        <w:tc>
          <w:tcPr>
            <w:tcW w:w="3473" w:type="dxa"/>
            <w:tcBorders>
              <w:left w:val="single" w:sz="4" w:space="0" w:color="546886"/>
              <w:bottom w:val="single" w:sz="4" w:space="0" w:color="54688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bottom w:val="single" w:sz="4" w:space="0" w:color="546886"/>
              <w:right w:val="single" w:sz="4" w:space="0" w:color="546886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top w:val="single" w:sz="4" w:space="0" w:color="546886"/>
              <w:right w:val="single" w:sz="4" w:space="0" w:color="546886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top w:val="single" w:sz="4" w:space="0" w:color="546886"/>
              <w:left w:val="single" w:sz="4" w:space="0" w:color="546886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0" w:type="dxa"/>
            <w:gridSpan w:val="2"/>
            <w:vMerge w:val="restart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Committees</w:t>
            </w:r>
          </w:p>
        </w:tc>
        <w:tc>
          <w:tcPr>
            <w:tcW w:w="518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top w:val="single" w:sz="4" w:space="0" w:color="546886"/>
              <w:left w:val="single" w:sz="4" w:space="0" w:color="546886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0" w:type="dxa"/>
            <w:gridSpan w:val="2"/>
            <w:vMerge w:val="continue"/>
            <w:tcBorders/>
            <w:shd w:fill="A6192E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18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top w:val="single" w:sz="4" w:space="0" w:color="546886"/>
              <w:right w:val="single" w:sz="4" w:space="0" w:color="546886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right w:val="single" w:sz="4" w:space="0" w:color="546886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Audit &amp; Finance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Overall risk exposures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and enterprise risk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management process;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Risks related to financial statements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the financial reporting process;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Accounting, legal, ethics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compliance matters;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Internal audit and the risk control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organization including any significant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changes to corporate risk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control policies;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Risks related to information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technology systems, artificial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intelligence (AI), privacy and cyber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security management (including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annual review of the structure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sufficiency of cyber security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mitigation efforts, including cyber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risk insurance);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Financial risk related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environmental, health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safety matters; 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Risks related to liquidity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capital allocation.</w:t>
            </w:r>
          </w:p>
        </w:tc>
        <w:tc>
          <w:tcPr>
            <w:tcW w:w="132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7" w:type="dxa"/>
            <w:gridSpan w:val="8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Compensation &amp;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Talent Management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Risks associated with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Company’s 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philosophy and programs;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Engages an independent consultant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to support the 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Committee in reviewing 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programs and policies to encourage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appropriate risk taking;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Talent acquisition and retention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risks; 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Human capital management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and issues related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employment practices.</w:t>
            </w:r>
          </w:p>
        </w:tc>
        <w:tc>
          <w:tcPr>
            <w:tcW w:w="132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right w:val="single" w:sz="4" w:space="0" w:color="546886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Nominating &amp;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Governance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Risks related to corporate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governance, including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Corporate Governance Guidelines;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Along with the Audit and Finance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Committee, the Company’s Code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of Conduct and Ethics;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Corporate responsibility,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sustainability and environmental,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health and safety related risks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opportunities; 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Succession planning for the Board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CEO.</w:t>
            </w:r>
          </w:p>
        </w:tc>
      </w:tr>
      <w:tr>
        <w:trPr/>
        <w:tc>
          <w:tcPr>
            <w:tcW w:w="3473" w:type="dxa"/>
            <w:tcBorders>
              <w:left w:val="single" w:sz="4" w:space="0" w:color="546886"/>
              <w:bottom w:val="single" w:sz="4" w:space="0" w:color="54688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left w:val="single" w:sz="4" w:space="0" w:color="1B365D"/>
              <w:bottom w:val="single" w:sz="4" w:space="0" w:color="54688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left w:val="single" w:sz="4" w:space="0" w:color="1B365D"/>
              <w:bottom w:val="single" w:sz="4" w:space="0" w:color="54688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bottom w:val="single" w:sz="4" w:space="0" w:color="546886"/>
              <w:right w:val="single" w:sz="4" w:space="0" w:color="546886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top w:val="single" w:sz="4" w:space="0" w:color="546886"/>
              <w:right w:val="single" w:sz="4" w:space="0" w:color="546886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top w:val="single" w:sz="4" w:space="0" w:color="546886"/>
              <w:left w:val="single" w:sz="4" w:space="0" w:color="546886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1" w:type="dxa"/>
            <w:gridSpan w:val="4"/>
            <w:vMerge w:val="restart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Role of Management</w:t>
            </w:r>
          </w:p>
        </w:tc>
        <w:tc>
          <w:tcPr>
            <w:tcW w:w="139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top w:val="single" w:sz="4" w:space="0" w:color="546886"/>
              <w:left w:val="single" w:sz="4" w:space="0" w:color="546886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1" w:type="dxa"/>
            <w:gridSpan w:val="4"/>
            <w:vMerge w:val="continue"/>
            <w:tcBorders/>
            <w:shd w:fill="1B365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top w:val="single" w:sz="4" w:space="0" w:color="54688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top w:val="single" w:sz="4" w:space="0" w:color="546886"/>
              <w:right w:val="single" w:sz="4" w:space="0" w:color="546886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3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right w:val="single" w:sz="4" w:space="0" w:color="546886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4"/>
            <w:tcBorders>
              <w:left w:val="single" w:sz="4" w:space="0" w:color="546886"/>
              <w:right w:val="single" w:sz="4" w:space="0" w:color="546886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Prestige Consumer Healthcare’s management has day-to-day responsibility for: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Identifying risks and assessing them in relation to Company strategies and objectives;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Implementing suitable risk mitigation plans, processes and controls; 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Appropriately managing risks in a manner that serves the best interests of Prestige Consumer Healthcare, its stockholders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other stakeholders.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Management regularly reports to the Board on its risk assessments and risk mitigation strategies for the major risks of our business.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Senior management and other employees also report to the Board and its committees from time to time on risk-related issues.</w:t>
            </w:r>
          </w:p>
        </w:tc>
      </w:tr>
      <w:tr>
        <w:trPr/>
        <w:tc>
          <w:tcPr>
            <w:tcW w:w="3473" w:type="dxa"/>
            <w:tcBorders>
              <w:left w:val="single" w:sz="4" w:space="0" w:color="546886"/>
              <w:bottom w:val="single" w:sz="4" w:space="0" w:color="54688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>
              <w:bottom w:val="single" w:sz="4" w:space="0" w:color="546886"/>
              <w:right w:val="single" w:sz="4" w:space="0" w:color="546886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Board Oversight of Certain Areas/Key Risks</w:t>
      </w:r>
    </w:p>
    <w:tbl>
      <w:tblPr>
        <w:tblW w:w="987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871"/>
      </w:tblGrid>
      <w:tr>
        <w:trPr/>
        <w:tc>
          <w:tcPr>
            <w:tcW w:w="9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7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Oversight of Enterprise Risk Management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Management administers an annual detailed Enterprise Risk Management assessment to identify and rank the most significant risks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that affect our Company, including consideration of a large number of risks associated with companies in the consumer products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industry. Formal alignment of the most significant risks occurs between the Board and executive management every year and as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changes in the risk environment necessitate. The assessed risks encompass, among others, economic, industry, enterprise,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operational, cybersecurity, compliance and financial risks. Our Chief Executive Officer assigns a manager to lead the management of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each of those risks identified as among the most significant. As part of the risk management process, management (with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assistance of our third-party internal auditor) annually prepares a project plan under which it reviews activities directed to mitigate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business and financial related risks. This plan is reviewed with the Audit and Finance Committee annually and throughout the year as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updates occur. Our third-party internal auditor reports directly to the Audit and Finance Committee and advises the committee on a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quarterly basis regarding management’s risk assessment process and the progress of mitigation activities designed to facilitate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>maintenance of risk within acceptable levels.</w:t>
            </w:r>
          </w:p>
        </w:tc>
      </w:tr>
      <w:tr>
        <w:trPr/>
        <w:tc>
          <w:tcPr>
            <w:tcW w:w="9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Oversight of Cybersecurity and Privacy Risk Management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Our Board considers cybersecurity risk as part of its risk oversight function and has delegated to the Audit and Finance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Committee oversight of cybersecurity and other information technology risks. The Audit and Finance Committee oversees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management’s implementation of our cybersecurity risk management strategy, including reviewing risk assessments from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management with respect to our information technology systems and procedures, and overseeing our cybersecurity risk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management strategy. The Audit and Finance Committee, which is tasked with oversight of certain risk issues, including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cybersecurity, receives regular reports from the Chief Financial Officer and the Vice President, Information Technology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Chief Information Security Officer (“CISO”). At least annually, the Audit and Finance Committee receives updates on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>strategy and about the results of exercises and response readiness assessments led by outside advisors who provide a third-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party independent assessment of our technical program and our internal response preparedness. The Audit and Finance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Committee also receives periodic briefings regarding our information security programs and cyber threats in order to enhance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our directors’ literacy on cyber issues. In addition, management will update the Audit and Finance Committee, as necessary,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regarding cybersecurity incidents that we may experience. Our CISO and Chief Financial Officer are responsible for assessing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and managing our material risks from cybersecurity threats. The cyber security risk management team, which includes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personnel with Certified Information Systems Security Professional ("CISSP") certification from ISC2, has primary responsibility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for our overall cybersecurity risk management program and oversees both our internal cybersecurity personnel and our retained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external cybersecurity consultants. Our cyber security risk management team is led by our CISO, who has significant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experience across digital innovation and technology-enabled growth, information security, infrastructure, operations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compliance. Our management team supervises efforts to prevent, detect, mitigate, and remediate cybersecurity risks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incidents through various means, which include briefings from internal personnel; threat intelligence and other information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obtained from governmental, public or private sources, including external consultants engaged by us; and alerts and reports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>produced by security tools deployed in the IT environment.</w:t>
            </w:r>
          </w:p>
        </w:tc>
      </w:tr>
      <w:tr>
        <w:trPr/>
        <w:tc>
          <w:tcPr>
            <w:tcW w:w="98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Oversight of Artificial Intelligence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Our Board recognizes that artificial intelligence ("AI") presents both significant opportunities and evolving risks for the Company,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including in the areas of marketing, consumer engagement, product development, supply chain optimization, and data privacy.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Consistent with the Company's commitment to responsible governance and innovation, the Board has designated the Audit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Finance Committee to oversee the Company's management of AI-related risks, including risks related to data integrity, regulatory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compliance, and the responsible use of AI in consumer-facing applications. The full Board also receives periodic updates on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strategic implications of AI as part of our annual strategic planning process. To support this oversight framework, the Company has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established a management-level AI Governance Committee chaired by the Vice President, Information Technology and Chief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Information Security Officer ("CISO"). The AI Governance Committee is comprised of multifunctional representation from across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organization, including representatives from legal, finance, marketing, operations, human resources, and supply chain, reflecting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Company's view that the responsible development and use of AI requires coordinated oversight across all business functions. The AI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Governance Committee is responsible for developing and implementing the Company's AI governance policies and controls,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assessing AI-related risks and opportunities, monitoring the use of AI tools and technologies across the organization, and ensuring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that such use aligns with the Company's AI Policy, Code of Conduct and Ethics and applicable legal and regulatory requirements.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The Chair of the AI Governance Committee reports to the Audit and Finance Committee, which in turn provides updates to the full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Board as appropriate. The Company will continue to assess its AI governance framework as the technology and regulatory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>landscape evolves.</w:t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33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Oversight of Corporate Responsibility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 Board considers corporate responsibility to be important for the long term success of the Company and has delegated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oversight of those programs to the Nominating and Corporate Governance Committee. Our Senior Vice President and General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Counsel and our Vice President, Investor Relations and Treasury lead our corporate responsibility initiatives supported by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various functional representatives and external subject matter experts. They meet regularly with functional experts to review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health of the program, opportunities for improvement, and the status of execution against agreed program priorities.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Senior Vice President and General Counsel and Vice President, Investor Relations and Treasury also meet regularly with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Nominating and Corporate Governance Committee to review our corporate responsibility priorities.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Succession Planning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Board of Directors recognizes that one of its most important duties is to ensure excellence and continuity in our senior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leadership by overseeing the development of executive talent and planning for the effective succession of the Chair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Board of Directors and our CEO and other senior members of executive management. Our CEO and other senior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succession planning process includes identifying external candidates, where appropriate, and identifying and developing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potential internal candidates on an ongoing basis.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Board of Directors is committed to being prepared for a planned or unplanned change in our leadership in order to ensure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stability. In continuation of this process, the Nominating and Corporate Governance Committee, in collaboration with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and Talent Management Committee, agree upon and recommend to the Board a succession plan for our CEO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the ordinary course of business and in emergency situations. Through this process, our Board of Directors receives from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CEO qualitative evaluations of, and recommendations concerning, potential successors to our CEO and our other senior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executives, along with a review of any development plans recommended for such individuals. At least once annually,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Board of Directors reviews our succession plans. Succession planning is also regularly discussed in executive sessions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Board of Directors and in committee meetings, as applicable. Our directors become familiar with internal potential successors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key leadership positions through various means, including a comprehensive annual talent and succession review, Board of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Directors and committee meeting presentations, and les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 formal interactions throughout the course of the 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Director Engagement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Meetings and Attendance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Board of Directors held seven meetings during fiscal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2026. Each director is expected to attend each meeting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Board of Directors and those committees on which he 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she serves. The Board of Directors expects that its members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will attend the 2026 Annual Meeting of Stockholders (the 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Annual Meeting”) either in person, by videoconference or by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telephone. All our directors attended the 2025 Annual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Meeting of Stockholders.</w:t>
      </w:r>
    </w:p>
    <w:tbl>
      <w:tblPr>
        <w:tblW w:w="46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96"/>
      </w:tblGrid>
      <w:tr>
        <w:trPr/>
        <w:tc>
          <w:tcPr>
            <w:tcW w:w="4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96" w:type="dxa"/>
            <w:tcBorders/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>≥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75% ATTENDANCE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Each of our directors attended 75% or more of the total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number of meetings of the Board of Directors and those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committees on which he or she served during the last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fiscal year.</w:t>
            </w:r>
          </w:p>
        </w:tc>
      </w:tr>
    </w:tbl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Director Orientation and Continuing Education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Regular continuing education programs enhance the skills and knowledge directors use to perform their responsibilities. These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programs may include internally developed programs or programs presented by third parties. In addition to the regular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sustainability, cybersecurity, legal and regulatory updates the Board receives at meetings, we encourage our directors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participate in external continuing director education programs. New directors also receive a comprehensive orientation session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that provides them with a thorough understanding of their fiduciary duties, as well as a robust overview of the Company’s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business and strategies, which allows new directors to begin making contributions to the Board at the start of their service.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Board Evaluation Process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Every year, the Board of Directors and its committees complete a self-evaluation of their performance and engage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discussion regarding the results. In the event the Board of Directors or its committees determine that modifications to their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practices are required, those changes may be implemented through amendments to the Company’s corporate governance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practices and the documents through which such practices are effectuated.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927"/>
        <w:gridCol w:w="927"/>
        <w:gridCol w:w="109"/>
        <w:gridCol w:w="172"/>
        <w:gridCol w:w="109"/>
        <w:gridCol w:w="109"/>
        <w:gridCol w:w="109"/>
        <w:gridCol w:w="188"/>
        <w:gridCol w:w="188"/>
        <w:gridCol w:w="298"/>
        <w:gridCol w:w="188"/>
        <w:gridCol w:w="188"/>
        <w:gridCol w:w="188"/>
        <w:gridCol w:w="188"/>
        <w:gridCol w:w="409"/>
        <w:gridCol w:w="235"/>
        <w:gridCol w:w="372"/>
        <w:gridCol w:w="235"/>
        <w:gridCol w:w="235"/>
        <w:gridCol w:w="235"/>
        <w:gridCol w:w="351"/>
        <w:gridCol w:w="206"/>
        <w:gridCol w:w="327"/>
        <w:gridCol w:w="206"/>
        <w:gridCol w:w="206"/>
        <w:gridCol w:w="206"/>
        <w:gridCol w:w="206"/>
        <w:gridCol w:w="214"/>
        <w:gridCol w:w="109"/>
        <w:gridCol w:w="172"/>
        <w:gridCol w:w="109"/>
        <w:gridCol w:w="109"/>
        <w:gridCol w:w="109"/>
        <w:gridCol w:w="753"/>
        <w:gridCol w:w="1080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4" w:type="dxa"/>
            <w:gridSpan w:val="2"/>
            <w:vMerge w:val="restart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Review of Process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 Nominating &amp;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 annually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reviews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self-assessment process</w:t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5" w:type="dxa"/>
            <w:gridSpan w:val="8"/>
            <w:vMerge w:val="restart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Self-Assessment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Questionnaire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Provides director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feedback on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Board and each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 committees </w:t>
            </w:r>
          </w:p>
        </w:tc>
        <w:tc>
          <w:tcPr>
            <w:tcW w:w="235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2" w:type="dxa"/>
            <w:gridSpan w:val="8"/>
            <w:vMerge w:val="restart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Results Analyzed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Results of the self-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assessment analyzed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by the Chair 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Nominating &amp;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discussed with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such committee</w:t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3" w:type="dxa"/>
            <w:gridSpan w:val="2"/>
            <w:vMerge w:val="restart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Individual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Discussions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Chair 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Nominating &amp;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 engages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with individual directors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as appropriate</w:t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5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2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3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5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2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3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A6192E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4610" cy="113665"/>
                  <wp:effectExtent l="0" t="0" r="0" b="0"/>
                  <wp:docPr id="280" name="Image28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28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" cy="11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2" w:name="i-280"/>
            <w:bookmarkEnd w:id="282"/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5" w:type="dxa"/>
            <w:tcBorders>
              <w:left w:val="single" w:sz="4" w:space="0" w:color="1B365D"/>
              <w:bottom w:val="single" w:sz="4" w:space="0" w:color="A6192E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4610" cy="113665"/>
                  <wp:effectExtent l="0" t="0" r="0" b="0"/>
                  <wp:docPr id="281" name="Image28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Image28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" cy="11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3" w:name="i-281"/>
            <w:bookmarkEnd w:id="283"/>
          </w:p>
        </w:tc>
        <w:tc>
          <w:tcPr>
            <w:tcW w:w="23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bottom w:val="single" w:sz="4" w:space="0" w:color="A6192E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2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A6192E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4610" cy="113665"/>
                  <wp:effectExtent l="0" t="0" r="0" b="0"/>
                  <wp:docPr id="282" name="Image28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28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" cy="11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4" w:name="i-282"/>
            <w:bookmarkEnd w:id="284"/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3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top w:val="single" w:sz="4" w:space="0" w:color="A6192E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5" w:type="dxa"/>
            <w:tcBorders>
              <w:top w:val="single" w:sz="4" w:space="0" w:color="A6192E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5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top w:val="single" w:sz="4" w:space="0" w:color="A6192E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2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top w:val="single" w:sz="4" w:space="0" w:color="A6192E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3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5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2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3" w:type="dxa"/>
            <w:gridSpan w:val="2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top w:val="single" w:sz="4" w:space="0" w:color="1B365D"/>
              <w:right w:val="single" w:sz="4" w:space="0" w:color="A6192E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top w:val="single" w:sz="4" w:space="0" w:color="1B365D"/>
              <w:left w:val="single" w:sz="4" w:space="0" w:color="A6192E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tcBorders>
              <w:top w:val="single" w:sz="4" w:space="0" w:color="1B365D"/>
              <w:right w:val="single" w:sz="4" w:space="0" w:color="A6192E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0" w:type="dxa"/>
            <w:tcBorders>
              <w:top w:val="single" w:sz="4" w:space="0" w:color="1B365D"/>
              <w:left w:val="single" w:sz="4" w:space="0" w:color="A6192E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3665" cy="54610"/>
                  <wp:effectExtent l="0" t="0" r="0" b="0"/>
                  <wp:docPr id="283" name="Image2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Image2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5" cy="54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5" w:name="i-283"/>
            <w:bookmarkEnd w:id="285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3665" cy="54610"/>
                  <wp:effectExtent l="0" t="0" r="0" b="0"/>
                  <wp:docPr id="284" name="Image2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2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5" cy="54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6" w:name="i-284"/>
            <w:bookmarkEnd w:id="286"/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bottom w:val="single" w:sz="4" w:space="0" w:color="1B365D"/>
              <w:right w:val="single" w:sz="4" w:space="0" w:color="A6192E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4" w:space="0" w:color="A6192E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tcBorders>
              <w:bottom w:val="single" w:sz="4" w:space="0" w:color="1B365D"/>
              <w:right w:val="single" w:sz="4" w:space="0" w:color="A6192E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0" w:type="dxa"/>
            <w:tcBorders>
              <w:left w:val="single" w:sz="4" w:space="0" w:color="A6192E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0" w:type="dxa"/>
            <w:gridSpan w:val="8"/>
            <w:vMerge w:val="restart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Feedback Incorporated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Policies and practices updated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as appropriate as a result 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annual self-assessment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ongoing feedback</w:t>
            </w:r>
          </w:p>
        </w:tc>
        <w:tc>
          <w:tcPr>
            <w:tcW w:w="188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2" w:type="dxa"/>
            <w:gridSpan w:val="7"/>
            <w:vMerge w:val="restart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Ongoing Feedback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Directors are encouraged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to provide ongoing feedback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 addition to the annual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self-assessment</w:t>
            </w:r>
          </w:p>
        </w:tc>
        <w:tc>
          <w:tcPr>
            <w:tcW w:w="206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5" w:type="dxa"/>
            <w:gridSpan w:val="8"/>
            <w:vMerge w:val="restart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Summary of Results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Summary of Board and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committee self-assessment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results provided to full Board</w:t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0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2" w:type="dxa"/>
            <w:gridSpan w:val="7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6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0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2" w:type="dxa"/>
            <w:gridSpan w:val="7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6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0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" w:type="dxa"/>
            <w:tcBorders>
              <w:left w:val="single" w:sz="4" w:space="0" w:color="1B365D"/>
              <w:bottom w:val="single" w:sz="4" w:space="0" w:color="A6192E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4610" cy="113665"/>
                  <wp:effectExtent l="0" t="0" r="0" b="0"/>
                  <wp:docPr id="285" name="Image2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Image2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" cy="11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7" w:name="i-285"/>
            <w:bookmarkEnd w:id="287"/>
          </w:p>
        </w:tc>
        <w:tc>
          <w:tcPr>
            <w:tcW w:w="18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2" w:type="dxa"/>
            <w:gridSpan w:val="7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6" w:type="dxa"/>
            <w:tcBorders>
              <w:left w:val="single" w:sz="4" w:space="0" w:color="1B365D"/>
              <w:bottom w:val="single" w:sz="4" w:space="0" w:color="A6192E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4610" cy="113665"/>
                  <wp:effectExtent l="0" t="0" r="0" b="0"/>
                  <wp:docPr id="286" name="Image28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28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" cy="11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8" w:name="i-286"/>
            <w:bookmarkEnd w:id="288"/>
          </w:p>
        </w:tc>
        <w:tc>
          <w:tcPr>
            <w:tcW w:w="20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vMerge w:val="restart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0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" w:type="dxa"/>
            <w:tcBorders>
              <w:top w:val="single" w:sz="4" w:space="0" w:color="A6192E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2" w:type="dxa"/>
            <w:gridSpan w:val="7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6" w:type="dxa"/>
            <w:tcBorders>
              <w:top w:val="single" w:sz="4" w:space="0" w:color="A6192E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vMerge w:val="continue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6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0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2" w:type="dxa"/>
            <w:gridSpan w:val="7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6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5" w:type="dxa"/>
            <w:gridSpan w:val="8"/>
            <w:vMerge w:val="continue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35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Governance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Other Governance Policies and Practices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Code of Business Conduct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Code of Conduct and Ethics, the Code of Ethics for Senior Financial Employees (which is applicable to the Company’s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principal executive officer, principal financial officer, principal accounting officer or controller, and persons performing similar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functions), the Corporate Governance Guidelines, the Insider Trading Policy, and the Charters of our Audit and Finance,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and Talent Management and Nominating and Corporate Governance Committees were adopted by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Company for the purpose of transparency in our governance practices, as well as promoting honest and ethical conduct, full,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fair, accurate, timely and understandable disclosure in periodic reports required to be filed by the Company with the SEC,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compliance with all applicable rules and regulations that apply to the Company and its officers, employees and directors.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Insider Trading Policy governs the purchase, sale and other dispositions of the Company’s securities by the Company’s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directors, officers and employees that are reasonably designed to promote compliance with insider trading laws, rules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regulations and NYSE listing standards.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Code of Conduct and Ethics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Charters of our Audit and Finance, Compensation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Talent Management and Nominating and Corporate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Governance Committees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Code of Ethics for Senior Financial Employees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Governance Guidelines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Insider Trading Policy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documents described above may be accessed at the “Investors” tab of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www.prestigeconsumerhealthcare.com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,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internet website. In addition, you may request, without charge, a copy of the foregoing documents by submitting a written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request for any of these materials to: Prestige Consumer Healthcare Inc., 660 White Plains Road, Tarrytown, New York 10591,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Attention: Corporate Secretary.</w:t>
      </w:r>
    </w:p>
    <w:tbl>
      <w:tblPr>
        <w:tblW w:w="79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01"/>
        <w:gridCol w:w="109"/>
        <w:gridCol w:w="109"/>
        <w:gridCol w:w="4381"/>
      </w:tblGrid>
      <w:tr>
        <w:trPr/>
        <w:tc>
          <w:tcPr>
            <w:tcW w:w="3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49250" cy="311150"/>
                  <wp:effectExtent l="0" t="0" r="0" b="0"/>
                  <wp:docPr id="287" name="Image28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28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25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9" w:name="i-287"/>
            <w:bookmarkEnd w:id="289"/>
          </w:p>
        </w:tc>
        <w:tc>
          <w:tcPr>
            <w:tcW w:w="109" w:type="dxa"/>
            <w:tcBorders>
              <w:right w:val="single" w:sz="4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14960" cy="311150"/>
                  <wp:effectExtent l="0" t="0" r="0" b="0"/>
                  <wp:docPr id="288" name="Image28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Image28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96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0" w:name="i-288"/>
            <w:bookmarkEnd w:id="290"/>
          </w:p>
        </w:tc>
      </w:tr>
      <w:tr>
        <w:trPr/>
        <w:tc>
          <w:tcPr>
            <w:tcW w:w="3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On Our Corporate Website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A6192E"/>
                <w:sz w:val="18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A6192E"/>
                <w:sz w:val="18"/>
                <w:u w:val="single"/>
              </w:rPr>
              <w:t>www.prestigeconsumerhealthcare.com</w:t>
            </w:r>
          </w:p>
        </w:tc>
        <w:tc>
          <w:tcPr>
            <w:tcW w:w="109" w:type="dxa"/>
            <w:tcBorders>
              <w:right w:val="single" w:sz="4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By Writing To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Prestige Consumer Healthcare Inc.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Attention: Corporate Secretary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660 White Plains Road, Tarrytown, New York 10591</w:t>
            </w:r>
          </w:p>
        </w:tc>
      </w:tr>
    </w:tbl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Director Communications</w:t>
      </w:r>
    </w:p>
    <w:tbl>
      <w:tblPr>
        <w:tblW w:w="93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598"/>
        <w:gridCol w:w="850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25120" cy="320040"/>
                  <wp:effectExtent l="0" t="0" r="0" b="0"/>
                  <wp:docPr id="289" name="Image28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" name="Image28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120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1" w:name="i-289"/>
            <w:bookmarkEnd w:id="291"/>
          </w:p>
        </w:tc>
        <w:tc>
          <w:tcPr>
            <w:tcW w:w="85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We want to hear from you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Stockholders and other interested parties may send communications to the Board of Directors or any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 thereof or any individual director by writing to the Board of Directors, such committee or such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individual director at Prestige Consumer Healthcare Inc., 660 White Plains Road, Tarrytown, New York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10591, Attention: Corporate Secretary. The Corporate Secretary will distribute all stockholder and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interested party communications to the intended recipients and/or to the entire Board of Directors,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as appropriate.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Company Complaint Procedures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Complaints and concerns about accounting, internal accounting controls or auditing or related matters pertaining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Company may be submitted by writing to the Chair of the Audit and Finance Committee at Prestige Consumer Healthcare Inc.,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660 White Plains Road, Tarrytown, New York 10591. Complaints may be submitted on a confidential and anonymous basis by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sending them in a sealed envelope marked “Confidential.”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Alternatively, complaints and concerns about accounting, internal accounting controls or auditing or related matters pertaining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the Company may be submitted by our employees confidentially and anonymously by contacting the Company’s Integrity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Hotline. The Integrity Hotline is an independent third party that the Company has retained to receive anonymous complaints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the Company’s employees.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DIRECTOR COMPENSATION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Overview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Compensation and Talent Management Committee retains Compensation Advisory Partners LLC (“CAP”) to perform a full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review of director compensation against the Company’s peer group every other year. CAP most recently performed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 full review against the peer group in August 2025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 xml:space="preserve">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consideration of the advice and recommendations from CAP,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Compensation and Talent Management Committee recommended, and the Board approved, the compensation program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directors which became effective as of August 1, 2025. CAP is expected to complete a full review of director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against the Company’s peer group in August 2027.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Elements of Director Compensation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Under the director compensation program, each of our directors other than Mr. Lombardi receives the following cash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equity compensation for their services as a director: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926080" cy="1554480"/>
            <wp:effectExtent l="0" t="0" r="0" b="0"/>
            <wp:docPr id="290" name="Image2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290" descr="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2" w:name="i-290"/>
      <w:bookmarkEnd w:id="292"/>
    </w:p>
    <w:tbl>
      <w:tblPr>
        <w:tblW w:w="49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26"/>
        <w:gridCol w:w="1426"/>
      </w:tblGrid>
      <w:tr>
        <w:trPr/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Position</w:t>
            </w:r>
          </w:p>
        </w:tc>
        <w:tc>
          <w:tcPr>
            <w:tcW w:w="14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 xml:space="preserve">2026 Additional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Annual Fee($)</w:t>
            </w:r>
          </w:p>
        </w:tc>
      </w:tr>
      <w:tr>
        <w:trPr/>
        <w:tc>
          <w:tcPr>
            <w:tcW w:w="352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Chair of the Audit and Finance Committee</w:t>
            </w:r>
          </w:p>
        </w:tc>
        <w:tc>
          <w:tcPr>
            <w:tcW w:w="142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20,000</w:t>
            </w:r>
          </w:p>
        </w:tc>
      </w:tr>
      <w:tr>
        <w:trPr/>
        <w:tc>
          <w:tcPr>
            <w:tcW w:w="35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Chair of the Compensation and Talent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Management Committee</w:t>
            </w:r>
          </w:p>
        </w:tc>
        <w:tc>
          <w:tcPr>
            <w:tcW w:w="14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20,000</w:t>
            </w:r>
          </w:p>
        </w:tc>
      </w:tr>
      <w:tr>
        <w:trPr/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Chair of the Nominating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Governance Committee</w:t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15,000</w:t>
            </w:r>
          </w:p>
        </w:tc>
      </w:tr>
      <w:tr>
        <w:trPr/>
        <w:tc>
          <w:tcPr>
            <w:tcW w:w="352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Lead Independent Director</w:t>
            </w:r>
          </w:p>
        </w:tc>
        <w:tc>
          <w:tcPr>
            <w:tcW w:w="142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30,000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annual grant of restricted stock units valued at $155,000, reflecting a $5,000 increase from fiscal 2025, is awarded 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date of the election of each director at the annual meeting of stockholders, which restricted stock units vest one year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after the date of grant so long as membership on the Board of Directors continues through the vesting date. Settlement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common stock occurs, at each recipient’s prior election, either upon vesting or on the earliest of the director’s death,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disability or the date on which the director’s board membership ceases for reasons other than death or disability.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If a director is elected at a time other than the annual meeting, they receive a pro-rated grant of restricted stock units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 provided between the date he or she first becomes a director and the next annual meeting of stockholders.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$95,000 annual cash retainer fee is paid in equal quarterly installments.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No meeting fees are payable to directors.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 directors are reimbursed for out-of-pocket expenses incurred in connection with Board of Directors and/or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 participation.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Please see the Director Compensation table for information regarding the compensation paid to our directors during 2026.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37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Director Compensation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Director Compensation Policies and Practices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Grant Limits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Pursuant to the terms of the Company’s 2020 Long-Term Incentive Plan, which our stockholders approved in August 2020,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with respect to any one fiscal year, the aggregate compensation that may be granted or awarded to any one non-employee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director, including all stock awards and cash payments (including meeting fees and retainers), may not exceed $600,000, 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$900,000 in the case of a non-employee Chair of the Board or Lead Director.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Stock Ownership Guidelines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Board of Directors adopted Stock Ownership Guidelines for the directors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executive officers of the Company to align their interests with the Company’s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stockholders. Each director is expected to be fully compliant with the guidelines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by the date of the first annual meeting of stockholders following the fifth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anniversary of the date of election to the Board.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All directors are in compliance with these requirements. </w:t>
      </w:r>
    </w:p>
    <w:tbl>
      <w:tblPr>
        <w:tblW w:w="305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7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Each director must maintain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ownership of shares</w:t>
            </w:r>
          </w:p>
          <w:p>
            <w:pPr>
              <w:pStyle w:val="TableContents"/>
              <w:bidi w:val="0"/>
              <w:spacing w:lineRule="atLeast" w:line="6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>≥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64"/>
                <w:u w:val="none"/>
                <w:effect w:val="none"/>
              </w:rPr>
              <w:t>5X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amount of their annual cash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retainer, currently $475,000 (5 X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$95,000 retainer).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Director Compensation in 2026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table sets forth the cash and equity compensation paid or awarded to our non-employee directors during 2026.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columns regarding option awards and non-equity incentive, pension and deferred compensation plans have been omitted,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as the Company does not provide such elements of compensation to our directors for their services.</w:t>
      </w:r>
    </w:p>
    <w:tbl>
      <w:tblPr>
        <w:tblW w:w="45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6"/>
        <w:gridCol w:w="1291"/>
        <w:gridCol w:w="1201"/>
        <w:gridCol w:w="826"/>
      </w:tblGrid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2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Fees Earned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Paid in Cash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0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Stock Awards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</w:t>
            </w:r>
          </w:p>
        </w:tc>
        <w:tc>
          <w:tcPr>
            <w:tcW w:w="8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24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Byom</w:t>
            </w:r>
          </w:p>
        </w:tc>
        <w:tc>
          <w:tcPr>
            <w:tcW w:w="129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165,502</w:t>
            </w:r>
          </w:p>
        </w:tc>
        <w:tc>
          <w:tcPr>
            <w:tcW w:w="120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155,040</w:t>
            </w:r>
          </w:p>
        </w:tc>
        <w:tc>
          <w:tcPr>
            <w:tcW w:w="82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320,542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Ms. Clark</w:t>
            </w:r>
          </w:p>
        </w:tc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110,000</w:t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155,040</w:t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265,040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D’Arecca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115,000</w:t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155,040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270,040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Ms. Hopkins</w:t>
            </w:r>
          </w:p>
        </w:tc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95,000</w:t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155,040</w:t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250,040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Kelly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95,000</w:t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155,040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250,040</w:t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Ms. Zier</w:t>
            </w:r>
          </w:p>
        </w:tc>
        <w:tc>
          <w:tcPr>
            <w:tcW w:w="129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115,000</w:t>
            </w:r>
          </w:p>
        </w:tc>
        <w:tc>
          <w:tcPr>
            <w:tcW w:w="120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155,040</w:t>
            </w:r>
          </w:p>
        </w:tc>
        <w:tc>
          <w:tcPr>
            <w:tcW w:w="82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270,040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the grant date fair value of the stock awards granted in 2026, determined in accordance with the Financial Accounting Standards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Board Accounting Standards Codification Topic 718 Stock Compensation (“FASB ASC Topic 718”). On August 5, 2025, each of Mses.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Clark, Hopkins and Zier and Messrs. Byom, D’Arecca and Kelly received 2,094 restricted stock units, representing $155,040 divided by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$74.04 (the closing price of our common stock on the NYSE on August 5, 2025). The restricted stock units, which entitle the grantee to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receive one share of common stock for each restricted stock unit, vest one year from the date of the grant and will be settled, at each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recipient’s prior election, either upon vesting or upon the earliest to occur of such director’s death, disability or the cessation of board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service for any reason other than death or disability. As of March 31, 2026, Mses. Clark, Hopkins and Zier and Messrs. Byom, D’Arecca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and Kelly held 13,530, 30,123, 16,533, 50,097, 6,591, and 4,851 restricted stock units under the Company’s equity compensation plans,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respectively. As of March 31, 2026, none of our directors held any stock options.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OUR EXECUTIVE OFFICERS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Our executive officers are as follows:</w:t>
      </w:r>
    </w:p>
    <w:tbl>
      <w:tblPr>
        <w:tblW w:w="97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61"/>
        <w:gridCol w:w="161"/>
        <w:gridCol w:w="1981"/>
        <w:gridCol w:w="161"/>
        <w:gridCol w:w="6970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91" name="Image29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Image29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3" w:name="i-291"/>
            <w:bookmarkEnd w:id="293"/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Ronald M. Lombardi 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Chair of the Board, President and Chief Executive Officer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>
              <w:top w:val="single" w:sz="4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Age: 62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34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Career Highlights: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Ronald M. Lombardi was elected Chair of the Board in May 2017 and has served as a director and as President and Chief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Executive Officer of the Company since June 2015. He served as Chief Financial Officer of the Company from December 2010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until November 2015. Prior to joining the Company, from October 2010 to December 2010, Mr. Lombardi was employed by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Medtech Group Holdings, a components and contract medical device manufacturer, as Chief Financial Officer. From October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2009 to October 2010, Mr. Lombardi served as the Chief Financial Officer of Waterbury International Holdings, a specialty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chemical and pest control business. Mr. Lombardi was employed by Cannondale Sports Group, a sporting goods and apparel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manufacturing company, as Chief Operating Officer from August 2008 to October 2009 and as Senior Vice President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Chief Financial Officer from March 2004 to August 2008. From 2000 to 2004, Mr. Lombardi served in various roles at Gerber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Scientific Inc., including Vice President and Chief Financial Officer of Gerber Scientific Inc.’s Gerber Coburn Optical Division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Director of Financial Planning and Analysis. Mr. Lombardi was also previously employed by Emerson Electric, Scovill Fasteners,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Inc. and Go/Dan Industries. Mr. Lombardi currently serves as Chair of the Audit Committee on the board of ACCO Brands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Corporation. Mr. Lombardi received a B.S. from Springfield College and an M.B.A. from American International College and has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been a licensed CPA.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88"/>
        <w:gridCol w:w="188"/>
        <w:gridCol w:w="2314"/>
        <w:gridCol w:w="188"/>
        <w:gridCol w:w="658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92" name="Image29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29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4" w:name="i-292"/>
            <w:bookmarkEnd w:id="294"/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Christine Sacco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Chief Financial Officer/Chief Operating Officer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>
              <w:top w:val="single" w:sz="4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Age: 51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4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Career Highlights: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Christine Sacco was appointed to the position of Chief Financial Officer and Chief Operating Officer for the Company in January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2025. She served as the Chief Financial Officer of the Company from September 2016 until January 2025. Ms. Sacco joined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Company from Boulder Brands, Inc., a health and wellness food manufacturer, where she served as the Chief Financial Officer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and Treasurer from January 2012 to January 2016 and Vice President and Controller from January 2008 to January 2012,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including Principal Accounting Officer from January 2011 to March 2012. From October 2002 until January 2008, she held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positions of increasing financial responsibility with Alpharma, Inc., a global specialty pharma company, where she last held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position of Vice President, Treasurer. Ms. Sacco began her career with Ernst &amp; Young and worked for five years in the Audit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>Assurance group. She holds a B.S. in accounting from St. Thomas Aquinas College and has been a licensed CPA.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39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Our Executive Officers</w:t>
      </w:r>
    </w:p>
    <w:tbl>
      <w:tblPr>
        <w:tblW w:w="9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45"/>
        <w:gridCol w:w="145"/>
        <w:gridCol w:w="1789"/>
        <w:gridCol w:w="145"/>
        <w:gridCol w:w="723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93" name="Image29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Image29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5" w:name="i-293"/>
            <w:bookmarkEnd w:id="295"/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William C. P’Pool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Senior Vice President, General Counsel and Corporate Secretary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>
              <w:top w:val="single" w:sz="4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Age: 60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3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Career Highlights: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William C. P’Pool was appointed to the position of Senior Vice President, General Counsel and Corporate Secretary for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Company in November 2016. From June 2004 to April 2015, Mr. P’Pool served in progressive leadership roles at Mead Johnson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Nutrition Company, a nutritional products company, the last being Senior Vice President, General Counsel and Corporate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Secretary. From May 2001 to June 2004, Mr. P’Pool served as a Senior Counsel and Director of Legal Services at Yum! Brands,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Inc. From 1991 to 2001, he served in legal roles of increasing responsibility at GrafTech International and Service Merchandise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>Company, among others. He earned a B.S. in business from Murray State University and a J.D. from the University of Kentucky.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6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90"/>
        <w:gridCol w:w="190"/>
        <w:gridCol w:w="2340"/>
        <w:gridCol w:w="190"/>
        <w:gridCol w:w="6478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94" name="Image29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Image29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6" w:name="i-294"/>
            <w:bookmarkEnd w:id="296"/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Adel Mekhail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 Vice President, Marketing &amp; Sales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>
              <w:top w:val="single" w:sz="4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Age: 65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8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Career Highlights: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Adel Mekhail was appointed to the position of Executive Vice President of Marketing &amp; Sales for the Company in May 2019.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From April 2017 to July 2018, Mr. Mekhail served as Vice President, Americas at Edgewell Personal Care Company, a personal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care products company, and from July 2015 to April 2017 he served as Vice President and General Manager, Private Brands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Group and Vice President, Latin America. From November 2013 to July 2015, Mr. Mekhail served as Vice President, Asia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Pacific at Energizer. He held other increasingly responsible marketing roles at Energizer from 2003 to 2013. Mr. Mekhail also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served in sales and marketing roles for Pfizer and Warner Lambert from 1996 to 2003. In 2000, he moved from Australia to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United States for Pfizer. Mr. Mekhail earned his B.S. in Pharmaceutical Sciences from Tanta University in Egypt and his M.B.A.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>from RMIT University in Melbourne, Australia.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6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13"/>
        <w:gridCol w:w="213"/>
        <w:gridCol w:w="2618"/>
        <w:gridCol w:w="213"/>
        <w:gridCol w:w="6103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95655" cy="795655"/>
                  <wp:effectExtent l="0" t="0" r="0" b="0"/>
                  <wp:docPr id="295" name="Image29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Image29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7" w:name="i-295"/>
            <w:bookmarkEnd w:id="297"/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6"/>
                <w:u w:val="none"/>
                <w:effect w:val="none"/>
              </w:rPr>
              <w:t>Jeffrey Zerillo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 Vice President, Operations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>
              <w:top w:val="single" w:sz="4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Age: 65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0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7"/>
                <w:u w:val="none"/>
                <w:effect w:val="none"/>
              </w:rPr>
              <w:t>Career Highlights: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Jeffrey Zerillo was appointed to the position of Senior Vice President, Operations for the Company in April 2018. Mr. Zerillo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joined the Company from Teva Pharmaceuticals, a pharmaceutical company, where he served as Vice President, Supply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Chain Management for the America’s Region from 2016 to 2018. He brings experience managing complex supply chains in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pharmaceuticals, biologics and medical devices from companies including Actavis/Allergan, a pharmaceutical company, from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2014 to 2016, Purdue Pharma from 1995 to 2013, Tura L.P. from 1994 to 1995 and Instrumentation Laboratories from 1988 to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 xml:space="preserve">1994. He earned a B.S. in Business Management - Production Operations from York College of Pennsylvania and an Executive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7"/>
              </w:rPr>
              <w:t>Certificate from Sloan School of Business.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EXECUTIVE COMPENSATION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4"/>
        <w:gridCol w:w="9611"/>
      </w:tblGrid>
      <w:tr>
        <w:trPr/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05" w:type="dxa"/>
            <w:gridSpan w:val="2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05" w:type="dxa"/>
            <w:gridSpan w:val="2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PROPOSAL 2: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  <w:t xml:space="preserve">Advisory Vote to Approve Named Executive 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  <w:t>Officer Compensation</w:t>
            </w:r>
          </w:p>
        </w:tc>
      </w:tr>
      <w:tr>
        <w:trPr/>
        <w:tc>
          <w:tcPr>
            <w:tcW w:w="10005" w:type="dxa"/>
            <w:gridSpan w:val="2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0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0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Why are we submitting this matter to you?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We are required by Section 14A of the Exchange Act and by the Dodd-Frank Wall Street Reform and Consumer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Protection Act of 2010 (the “Dodd-Frank Act”) to provide our stockholders with the opportunity to approve, on an advisory,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non-binding basis, the compensation of our named executive officers (“NEOs”) contained in this Proxy Statement. This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proposal, commonly known as a “Say-on-Pay” proposal, gives our stockholders the opportunity to express their views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our executive compensation as described in this Proxy Statement. Our executive compensation program is described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Compensation Discussion and Analysis (“CD&amp;A”), executive compensation tables and other narrative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compensation disclosures required by the disclosure rules of the SEC, all of which are found in this Proxy Statement.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particular, the CD&amp;A, beginning on page </w:t>
            </w:r>
            <w:hyperlink w:anchor="ib93d044691e741419dce32abb828e2a4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  <w:shd w:fill="FFFFFF" w:val="clear"/>
                </w:rPr>
                <w:t>41</w:t>
              </w:r>
            </w:hyperlink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of this Proxy Statement, describes the Company’s executive compensation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program in detail, and we encourage you to review it.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At the 2023 Annual Meeting of Stockholders, our stockholders expressed a preference that advisory votes on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compensation be held on an annual basis. The Board of Directors has determined, in line with the vote of the Company’s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stockholders, to have an annual advisory vote on the compensation of our named executive officers.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Accordingly, the next advisory vote on executive compensation will occur at this Annual Meeting of Stockholders.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What are you being asked to vote on?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Stockholders are being asked to vote either for or against the following non-binding resolution: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RESOLVED, that the stockholders of Prestige Consumer Healthcare Inc. approve, on an advisory basis,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compensation of the Company’s named executive officers, as disclosed pursuant to the compensation disclosure rules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Securities and Exchange Commission, including the Compensation Discussion and Analysis, the compensation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tables and other narrative executive compensation disclosures included in this Proxy Statement.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Is this vote binding?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No. As provided by the Dodd-Frank Act, this vote will not be binding on the Board of Directors or the Compensation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Talent Management Committee and may not be construed as overruling a decision by the Board of Directors or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Compensation and Talent Management Committee or creating or implying any additional fiduciary duty for the Board.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Further, it will not affect any compensation paid or awarded to any executive officer. The Compensation and Talent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Management Committee and the Board will, however, take into account the outcome of the vote when considering future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 compensation arrangements.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What vote is required for approval of the Say-on-Pay proposal?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approval of this non-binding resolution requires the affirmative vote of a majority of the shares present, in person 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by proxy, at the Annual Meeting and entitled to vote on the proposal. If this proposal is not approved by the required vote,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Board and the Compensation and Talent Management Committee will take into account the result of the vote when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determining future executive compensation arrangements, particularly if the votes cast against the resolution exceed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number of votes cast in favor of the resolution.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What Does the Board Recommend?</w:t>
            </w:r>
          </w:p>
        </w:tc>
      </w:tr>
      <w:tr>
        <w:trPr/>
        <w:tc>
          <w:tcPr>
            <w:tcW w:w="10005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05" w:type="dxa"/>
            <w:gridSpan w:val="2"/>
            <w:tcBorders>
              <w:top w:val="single" w:sz="4" w:space="0" w:color="1B365D"/>
              <w:left w:val="single" w:sz="4" w:space="0" w:color="1B365D"/>
              <w:right w:val="single" w:sz="4" w:space="0" w:color="1B365D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2880"/>
                  <wp:effectExtent l="0" t="0" r="0" b="0"/>
                  <wp:docPr id="296" name="Image29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Image29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8" w:name="i-296"/>
            <w:bookmarkEnd w:id="298"/>
          </w:p>
        </w:tc>
        <w:tc>
          <w:tcPr>
            <w:tcW w:w="9611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For all of the reasons discussed in our CD&amp;A beginning on Page </w:t>
            </w:r>
            <w:hyperlink w:anchor="ib93d044691e741419dce32abb828e2a4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  <w:shd w:fill="FFFFFF" w:val="clear"/>
                </w:rPr>
                <w:t>41</w:t>
              </w:r>
            </w:hyperlink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of this Proxy Statement, the Board of Directors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recommends that you vote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FOR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approval of the compensation of our Named Executive Officers as described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this Proxy Statement.</w:t>
            </w:r>
          </w:p>
        </w:tc>
      </w:tr>
      <w:tr>
        <w:trPr/>
        <w:tc>
          <w:tcPr>
            <w:tcW w:w="10005" w:type="dxa"/>
            <w:gridSpan w:val="2"/>
            <w:tcBorders>
              <w:left w:val="single" w:sz="4" w:space="0" w:color="1B365D"/>
              <w:bottom w:val="single" w:sz="4" w:space="0" w:color="1B365D"/>
              <w:right w:val="single" w:sz="4" w:space="0" w:color="1B365D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41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Our Named Executive Officers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section is a discussion and analysis of the compensation policies and decisions made in connection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compensation for our named executive officers listed below:</w:t>
      </w:r>
    </w:p>
    <w:tbl>
      <w:tblPr>
        <w:tblW w:w="94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29"/>
        <w:gridCol w:w="1814"/>
        <w:gridCol w:w="1814"/>
        <w:gridCol w:w="1966"/>
        <w:gridCol w:w="2011"/>
      </w:tblGrid>
      <w:tr>
        <w:trPr/>
        <w:tc>
          <w:tcPr>
            <w:tcW w:w="1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97280" cy="1097280"/>
                  <wp:effectExtent l="0" t="0" r="0" b="0"/>
                  <wp:docPr id="297" name="Image29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" name="Image29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9" w:name="i-297"/>
            <w:bookmarkEnd w:id="299"/>
          </w:p>
        </w:tc>
        <w:tc>
          <w:tcPr>
            <w:tcW w:w="181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97280" cy="1097280"/>
                  <wp:effectExtent l="0" t="0" r="0" b="0"/>
                  <wp:docPr id="298" name="Image29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29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0" w:name="i-298"/>
            <w:bookmarkEnd w:id="300"/>
          </w:p>
        </w:tc>
        <w:tc>
          <w:tcPr>
            <w:tcW w:w="181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97280" cy="1097280"/>
                  <wp:effectExtent l="0" t="0" r="0" b="0"/>
                  <wp:docPr id="299" name="Image29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Image29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1" w:name="i-299"/>
            <w:bookmarkEnd w:id="301"/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97280" cy="1097280"/>
                  <wp:effectExtent l="0" t="0" r="0" b="0"/>
                  <wp:docPr id="300" name="Image30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Image30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2" w:name="i-300"/>
            <w:bookmarkEnd w:id="302"/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97280" cy="1097280"/>
                  <wp:effectExtent l="0" t="0" r="0" b="0"/>
                  <wp:docPr id="301" name="Image30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" name="Image30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3" w:name="i-301"/>
            <w:bookmarkEnd w:id="303"/>
          </w:p>
        </w:tc>
      </w:tr>
      <w:tr>
        <w:trPr/>
        <w:tc>
          <w:tcPr>
            <w:tcW w:w="1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Ronald M. Lombardi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President and Chief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 Officer</w:t>
            </w:r>
          </w:p>
        </w:tc>
        <w:tc>
          <w:tcPr>
            <w:tcW w:w="181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Christine Sacco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Chief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Officer &amp; Chief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Operating Officer</w:t>
            </w:r>
          </w:p>
        </w:tc>
        <w:tc>
          <w:tcPr>
            <w:tcW w:w="181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Adel Mekhail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President, Sales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and Marketing</w:t>
            </w:r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William C. P’Pool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Senior Vice President,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General Counsel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Corporate Secretary</w:t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Jeffrey Zerillo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Senior Vice President,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Operations</w:t>
            </w:r>
          </w:p>
        </w:tc>
      </w:tr>
    </w:tbl>
    <w:tbl>
      <w:tblPr>
        <w:tblW w:w="87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3346"/>
        <w:gridCol w:w="316"/>
        <w:gridCol w:w="109"/>
        <w:gridCol w:w="4396"/>
        <w:gridCol w:w="31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6"/>
                <w:u w:val="none"/>
                <w:effect w:val="none"/>
              </w:rPr>
              <w:t>Table of Contents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8"/>
                  <w:u w:val="single"/>
                  <w:effect w:val="none"/>
                </w:rPr>
                <w:t>Executive Summary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8"/>
                  <w:u w:val="single"/>
                  <w:effect w:val="none"/>
                </w:rPr>
                <w:t>42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Compensation Review and Competitive Analysis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49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Our Performance During 202</w:t>
              </w:r>
            </w:hyperlink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6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42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36f47e524876498aa06ef9073dd5f1f4_0-0-1-2-14328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Peer Group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36f47e524876498aa06ef9073dd5f1f4_0-0-1-2-14328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49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Compensation Philosophy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42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8"/>
                  <w:u w:val="single"/>
                  <w:effect w:val="none"/>
                </w:rPr>
                <w:t>2026 NEO Compensation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8"/>
                  <w:u w:val="single"/>
                  <w:effect w:val="none"/>
                </w:rPr>
                <w:t>49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Approach to Compensation Program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43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Base Salary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50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49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7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Our 2026 Compensation Program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7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44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50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Annual Cash Incentive Plan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50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50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Say-on-Pay Results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46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50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Equity Awards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50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53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Compensation Governance Highlights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46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8"/>
                  <w:u w:val="single"/>
                  <w:effect w:val="none"/>
                </w:rPr>
                <w:t>Compensation Policies and Governance Practices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8"/>
                  <w:u w:val="single"/>
                  <w:effect w:val="none"/>
                </w:rPr>
                <w:t>56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Executive Compensation Best Practices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47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Stock Ownership Guidelines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56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8"/>
                  <w:u w:val="single"/>
                  <w:effect w:val="none"/>
                </w:rPr>
                <w:t xml:space="preserve">Executive Compensation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80"/>
                  <w:sz w:val="18"/>
                  <w:u w:val="single"/>
                  <w:effect w:val="none"/>
                </w:rPr>
                <w:t>Decision-</w:t>
              </w:r>
            </w:hyperlink>
            <w:hyperlink w:anchor="i4ee130ca464b4a0bb7124aa7646a5d03_2749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80"/>
                  <w:sz w:val="18"/>
                  <w:u w:val="single"/>
                  <w:effect w:val="none"/>
                </w:rPr>
                <w:t>Making Process</w:t>
              </w:r>
            </w:hyperlink>
          </w:p>
        </w:tc>
        <w:tc>
          <w:tcPr>
            <w:tcW w:w="31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9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B365D"/>
                  <w:sz w:val="18"/>
                  <w:u w:val="single"/>
                  <w:effect w:val="none"/>
                </w:rPr>
                <w:t>48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Equity Grant Timing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57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Clawback Policy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57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Roles and Responsibilities</w:t>
              </w:r>
            </w:hyperlink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48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Policy Against Hedging and Pledging of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Company Stock</w:t>
              </w:r>
            </w:hyperlink>
          </w:p>
        </w:tc>
        <w:tc>
          <w:tcPr>
            <w:tcW w:w="31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4ee130ca464b4a0bb7124aa7646a5d03_2748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57</w:t>
              </w:r>
            </w:hyperlink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 xml:space="preserve">Executive Summary </w:t>
      </w:r>
      <w:bookmarkStart w:id="304" w:name="i4ee130ca464b4a0bb7124aa7646a5d03_27490"/>
      <w:bookmarkEnd w:id="304"/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Our Performance During 2026</w:t>
      </w:r>
      <w:bookmarkStart w:id="305" w:name="i4ee130ca464b4a0bb7124aa7646a5d03_27498"/>
      <w:bookmarkEnd w:id="305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Demonstrating the resilience of our business model in a challenging consumer backdrop, the Company achieved free cash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flow growth in fiscal 2026,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despite a modest decline in revenue and earnings,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thanks to our business strategy and the unique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attributes of our portfolio, with key fiscal year metrics as follows:</w:t>
      </w:r>
    </w:p>
    <w:tbl>
      <w:tblPr>
        <w:tblW w:w="79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456"/>
        <w:gridCol w:w="1981"/>
        <w:gridCol w:w="2041"/>
        <w:gridCol w:w="214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>
              <w:right w:val="single" w:sz="4" w:space="0" w:color="1B365D"/>
            </w:tcBorders>
            <w:shd w:fill="EDEFF2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Stable Revenue</w:t>
            </w:r>
          </w:p>
        </w:tc>
        <w:tc>
          <w:tcPr>
            <w:tcW w:w="1981" w:type="dxa"/>
            <w:tcBorders>
              <w:left w:val="single" w:sz="4" w:space="0" w:color="1B365D"/>
              <w:right w:val="single" w:sz="4" w:space="0" w:color="1B365D"/>
            </w:tcBorders>
            <w:shd w:fill="EDEFF2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Sustained Profitability</w:t>
            </w:r>
          </w:p>
        </w:tc>
        <w:tc>
          <w:tcPr>
            <w:tcW w:w="2041" w:type="dxa"/>
            <w:tcBorders>
              <w:left w:val="single" w:sz="4" w:space="0" w:color="1B365D"/>
              <w:right w:val="single" w:sz="4" w:space="0" w:color="1B365D"/>
            </w:tcBorders>
            <w:shd w:fill="EDEFF2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Strong Free Cash Flow</w:t>
            </w:r>
          </w:p>
        </w:tc>
        <w:tc>
          <w:tcPr>
            <w:tcW w:w="2146" w:type="dxa"/>
            <w:tcBorders>
              <w:left w:val="single" w:sz="4" w:space="0" w:color="1B365D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Low Year-End Leverage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>
              <w:right w:val="single" w:sz="4" w:space="0" w:color="1B365D"/>
            </w:tcBorders>
            <w:shd w:fill="EDEFF2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left w:val="single" w:sz="4" w:space="0" w:color="1B365D"/>
              <w:right w:val="single" w:sz="4" w:space="0" w:color="1B365D"/>
            </w:tcBorders>
            <w:shd w:fill="EDEFF2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>
              <w:left w:val="single" w:sz="4" w:space="0" w:color="1B365D"/>
              <w:right w:val="single" w:sz="4" w:space="0" w:color="1B365D"/>
            </w:tcBorders>
            <w:shd w:fill="EDEFF2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6" w:type="dxa"/>
            <w:tcBorders>
              <w:left w:val="single" w:sz="4" w:space="0" w:color="1B365D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>
              <w:right w:val="single" w:sz="4" w:space="0" w:color="1B365D"/>
            </w:tcBorders>
            <w:shd w:fill="EDEFF2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Revenue of </w:t>
            </w:r>
          </w:p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 xml:space="preserve">$1,088.7 </w:t>
            </w:r>
          </w:p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Million</w:t>
            </w:r>
          </w:p>
        </w:tc>
        <w:tc>
          <w:tcPr>
            <w:tcW w:w="1981" w:type="dxa"/>
            <w:tcBorders>
              <w:left w:val="single" w:sz="4" w:space="0" w:color="1B365D"/>
              <w:right w:val="single" w:sz="4" w:space="0" w:color="1B365D"/>
            </w:tcBorders>
            <w:shd w:fill="EDEFF2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Adjusted EPS of</w:t>
            </w:r>
          </w:p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$4.38</w:t>
            </w:r>
          </w:p>
        </w:tc>
        <w:tc>
          <w:tcPr>
            <w:tcW w:w="2041" w:type="dxa"/>
            <w:tcBorders>
              <w:left w:val="single" w:sz="4" w:space="0" w:color="1B365D"/>
              <w:right w:val="single" w:sz="4" w:space="0" w:color="1B365D"/>
            </w:tcBorders>
            <w:shd w:fill="EDEFF2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Up from 2025 to </w:t>
            </w:r>
          </w:p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$246 Million</w:t>
            </w:r>
          </w:p>
        </w:tc>
        <w:tc>
          <w:tcPr>
            <w:tcW w:w="2146" w:type="dxa"/>
            <w:tcBorders>
              <w:left w:val="single" w:sz="4" w:space="0" w:color="1B365D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30"/>
                <w:u w:val="none"/>
                <w:effect w:val="none"/>
              </w:rPr>
              <w:t>2.6x Leverage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Please refer to Appendix A for a reconciliation of non-GAAP Adjusted EPS and Free Cash Flow to our most directly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comparable financial measure presented in accordance with GAAP.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Compensation Philosophy</w:t>
      </w:r>
      <w:bookmarkStart w:id="306" w:name="i4ee130ca464b4a0bb7124aa7646a5d03_27488"/>
      <w:bookmarkEnd w:id="306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It is the intent of the Company, through the efforts of the Compensation and Talent Management Committee, to:</w:t>
      </w:r>
    </w:p>
    <w:tbl>
      <w:tblPr>
        <w:tblW w:w="87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596"/>
        <w:gridCol w:w="109"/>
        <w:gridCol w:w="109"/>
        <w:gridCol w:w="109"/>
        <w:gridCol w:w="2641"/>
        <w:gridCol w:w="109"/>
        <w:gridCol w:w="109"/>
        <w:gridCol w:w="109"/>
        <w:gridCol w:w="259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5585" cy="301625"/>
                  <wp:effectExtent l="0" t="0" r="0" b="0"/>
                  <wp:docPr id="302" name="Image30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Image30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85" cy="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7" w:name="i-302"/>
            <w:bookmarkEnd w:id="307"/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3845" cy="301625"/>
                  <wp:effectExtent l="0" t="0" r="0" b="0"/>
                  <wp:docPr id="303" name="Image30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Image30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" cy="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8" w:name="i-303"/>
            <w:bookmarkEnd w:id="308"/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7330" cy="301625"/>
                  <wp:effectExtent l="0" t="0" r="0" b="0"/>
                  <wp:docPr id="304" name="Image30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Image30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30" cy="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9" w:name="i-304"/>
            <w:bookmarkEnd w:id="309"/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Motivate our business leaders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to deliver a high degree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business performance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ensure that their interests are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closely aligned with those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our stockholders; 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Attract and retain highly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qualified senior leaders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who can drive a successful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global enterprise in today’s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competitive marketplace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represent the diversity of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employees and the customers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we serve; 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Establish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compensation that is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competitive with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compensation offered by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similarly situated companies; 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58445" cy="301625"/>
                  <wp:effectExtent l="0" t="0" r="0" b="0"/>
                  <wp:docPr id="305" name="Image30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Image30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0" w:name="i-305"/>
            <w:bookmarkEnd w:id="310"/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17170" cy="301625"/>
                  <wp:effectExtent l="0" t="0" r="0" b="0"/>
                  <wp:docPr id="306" name="Image30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Image30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1" w:name="i-306"/>
            <w:bookmarkEnd w:id="311"/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1305" cy="301625"/>
                  <wp:effectExtent l="0" t="0" r="0" b="0"/>
                  <wp:docPr id="307" name="Image30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" name="Image30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5" cy="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2" w:name="i-307"/>
            <w:bookmarkEnd w:id="312"/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Focus management on both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 Company’s short-term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 long-term strategy,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performance and success; 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Maintain practices that support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good governance; and 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Structure programs that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mitigate any incentives to take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excessive risks. 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executive compensation philosophy is to have programs and pay levels that enable us to attract, retain and motivate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talented management who will drive exceptional results for our stockholders. We accomplish this by ensuring that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 executive officers are compensated in a way that considers market practice, supports good governance,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drives both company and individual performance. To ensure fair and competitive pay, the Compensation and Talent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Management Committee references a peer group comprised of companies it selected based on various characteristics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(as described further below) and uses median as a reference point in setting target pay levels for the Company’s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executive officers.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43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Company uses the following types of compensation to compensate and reward our executive officers for their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performance: base salary, a cash-based annual incentive plan, and long-term equity awards comprised of performance stock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units and restricted stock units. The Compensation and Talent Management Committee believes that the elements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that it provides create a flexible, performance-based compensation package that focuses and rewards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executives for short and long-term performance, while aligning the interests of our executive officers with the interests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 Company’s stockholders.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Each element of executive compensation described above is determined based on: </w:t>
      </w:r>
    </w:p>
    <w:tbl>
      <w:tblPr>
        <w:tblW w:w="95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3"/>
        <w:gridCol w:w="4231"/>
        <w:gridCol w:w="109"/>
        <w:gridCol w:w="388"/>
        <w:gridCol w:w="4411"/>
      </w:tblGrid>
      <w:tr>
        <w:trPr/>
        <w:tc>
          <w:tcPr>
            <w:tcW w:w="4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91770" cy="191770"/>
                  <wp:effectExtent l="0" t="0" r="0" b="0"/>
                  <wp:docPr id="308" name="Image3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Image3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0" cy="19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3" w:name="i-308"/>
            <w:bookmarkEnd w:id="313"/>
          </w:p>
        </w:tc>
        <w:tc>
          <w:tcPr>
            <w:tcW w:w="42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executive’s level of responsibility and function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within the Company;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91770" cy="191770"/>
                  <wp:effectExtent l="0" t="0" r="0" b="0"/>
                  <wp:docPr id="309" name="Image3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" name="Image3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0" cy="19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4" w:name="i-309"/>
            <w:bookmarkEnd w:id="314"/>
          </w:p>
        </w:tc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Executive compensation offered to similarly situated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executives at peer companies; and </w:t>
            </w:r>
          </w:p>
        </w:tc>
      </w:tr>
      <w:tr>
        <w:trPr/>
        <w:tc>
          <w:tcPr>
            <w:tcW w:w="40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91770" cy="191770"/>
                  <wp:effectExtent l="0" t="0" r="0" b="0"/>
                  <wp:docPr id="310" name="Image3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Image3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0" cy="19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5" w:name="i-310"/>
            <w:bookmarkEnd w:id="315"/>
          </w:p>
        </w:tc>
        <w:tc>
          <w:tcPr>
            <w:tcW w:w="42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overall performance and profitability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 Company;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91770" cy="191770"/>
                  <wp:effectExtent l="0" t="0" r="0" b="0"/>
                  <wp:docPr id="311" name="Image3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" name="Image3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0" cy="19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6" w:name="i-311"/>
            <w:bookmarkEnd w:id="316"/>
          </w:p>
        </w:tc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Good governance practices. </w:t>
            </w:r>
          </w:p>
        </w:tc>
      </w:tr>
      <w:tr>
        <w:trPr/>
        <w:tc>
          <w:tcPr>
            <w:tcW w:w="40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91770" cy="191770"/>
                  <wp:effectExtent l="0" t="0" r="0" b="0"/>
                  <wp:docPr id="312" name="Image3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Image3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0" cy="19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7" w:name="i-312"/>
            <w:bookmarkEnd w:id="317"/>
          </w:p>
        </w:tc>
        <w:tc>
          <w:tcPr>
            <w:tcW w:w="42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executive’s performance within the Company;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Approach to Compensation Program</w:t>
      </w:r>
      <w:bookmarkStart w:id="318" w:name="i4ee130ca464b4a0bb7124aa7646a5d03_27476"/>
      <w:bookmarkEnd w:id="318"/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Goals of Our Compensation Program</w:t>
      </w:r>
    </w:p>
    <w:tbl>
      <w:tblPr>
        <w:tblW w:w="892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446"/>
        <w:gridCol w:w="109"/>
        <w:gridCol w:w="109"/>
        <w:gridCol w:w="109"/>
        <w:gridCol w:w="109"/>
        <w:gridCol w:w="109"/>
        <w:gridCol w:w="2446"/>
        <w:gridCol w:w="109"/>
        <w:gridCol w:w="109"/>
        <w:gridCol w:w="109"/>
        <w:gridCol w:w="109"/>
        <w:gridCol w:w="109"/>
        <w:gridCol w:w="244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" w:space="0" w:color="4C4C4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4C4C4C"/>
              <w:left w:val="single" w:sz="4" w:space="0" w:color="4C4C4C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4C4C4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>
              <w:top w:val="single" w:sz="4" w:space="0" w:color="4C4C4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4C4C4C"/>
              <w:right w:val="single" w:sz="4" w:space="0" w:color="4C4C4C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4C4C4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  <w:left w:val="single" w:sz="4" w:space="0" w:color="A6192E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  <w:right w:val="single" w:sz="4" w:space="0" w:color="A6192E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0" w:space="0" w:color="4C4C4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4C4C4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Salary</w:t>
            </w:r>
          </w:p>
        </w:tc>
        <w:tc>
          <w:tcPr>
            <w:tcW w:w="109" w:type="dxa"/>
            <w:tcBorders>
              <w:right w:val="single" w:sz="4" w:space="0" w:color="4C4C4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4C4C4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0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Cash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Incentive Awards</w:t>
            </w:r>
          </w:p>
        </w:tc>
        <w:tc>
          <w:tcPr>
            <w:tcW w:w="109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0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0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Long-term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 Awards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" w:space="0" w:color="4C4C4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4C4C4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4C4C4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4C4C4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" w:space="0" w:color="4C4C4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4C4C4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Attract, Retain &amp; Motivate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Maintain Good Governance</w:t>
            </w:r>
          </w:p>
        </w:tc>
        <w:tc>
          <w:tcPr>
            <w:tcW w:w="109" w:type="dxa"/>
            <w:tcBorders>
              <w:right w:val="single" w:sz="4" w:space="0" w:color="4C4C4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4C4C4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Attract, Retain &amp; Motivate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Support Company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Objectives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Reinforce Strategy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Maintain Good Governance</w:t>
            </w:r>
          </w:p>
        </w:tc>
        <w:tc>
          <w:tcPr>
            <w:tcW w:w="109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Attract, Retain &amp; Motivate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Support Company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Objectives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Reinforce Strategy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Maintain Good Governance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right w:val="single" w:sz="4" w:space="0" w:color="4C4C4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4C4C4C"/>
              <w:bottom w:val="single" w:sz="4" w:space="0" w:color="4C4C4C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4C4C4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>
              <w:bottom w:val="single" w:sz="4" w:space="0" w:color="4C4C4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4C4C4C"/>
              <w:right w:val="single" w:sz="4" w:space="0" w:color="4C4C4C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4C4C4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A6192E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A6192E"/>
              <w:bottom w:val="single" w:sz="4" w:space="0" w:color="A6192E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  <w:right w:val="single" w:sz="4" w:space="0" w:color="A6192E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A6192E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Structure of Program</w:t>
      </w:r>
    </w:p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PERFORMANCE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executive compensation includes a significant amount of performance-based, or at-risk, compensation. We consider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to be performance-based or at-risk if payment is subject to achievement of performance targets or the value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received is dependent on our stock price.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believes that the use of performance-based or at-risk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allows the Company to tailor the compensation paid to our executive officers to the Company’s performance and maintain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 compensation system that significantly affects executive compensation in the event the Company does not meet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pre-determined performance goals. Furthermore, utilizing threshold performance targets puts the performance units entirely at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risk, which means that in the event the Company does not meet the threshold performance goals, the performance units would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not be paid to the executive officers. Performance stock units are earned only if the Company achieves the pre-established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three- year performance goals. Performance Stock Units and Restricted Stock Units are weighted as follows:</w:t>
      </w:r>
    </w:p>
    <w:tbl>
      <w:tblPr>
        <w:tblW w:w="55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36"/>
        <w:gridCol w:w="1411"/>
        <w:gridCol w:w="991"/>
      </w:tblGrid>
      <w:tr>
        <w:trPr/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3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Long-term Incentive (LTI) Vehicle</w:t>
            </w:r>
          </w:p>
        </w:tc>
        <w:tc>
          <w:tcPr>
            <w:tcW w:w="141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Target LTI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Other Than CEO</w:t>
            </w:r>
          </w:p>
        </w:tc>
        <w:tc>
          <w:tcPr>
            <w:tcW w:w="9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Target LTI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Value CEO</w:t>
            </w:r>
          </w:p>
        </w:tc>
      </w:tr>
      <w:tr>
        <w:trPr/>
        <w:tc>
          <w:tcPr>
            <w:tcW w:w="313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Stock Units</w:t>
            </w:r>
          </w:p>
        </w:tc>
        <w:tc>
          <w:tcPr>
            <w:tcW w:w="141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60%</w:t>
            </w:r>
          </w:p>
        </w:tc>
        <w:tc>
          <w:tcPr>
            <w:tcW w:w="99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75%</w:t>
            </w:r>
          </w:p>
        </w:tc>
      </w:tr>
      <w:tr>
        <w:trPr/>
        <w:tc>
          <w:tcPr>
            <w:tcW w:w="313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Service-based Restricted Stock Units</w:t>
            </w:r>
          </w:p>
        </w:tc>
        <w:tc>
          <w:tcPr>
            <w:tcW w:w="141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40%</w:t>
            </w:r>
          </w:p>
        </w:tc>
        <w:tc>
          <w:tcPr>
            <w:tcW w:w="99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25%</w:t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charts below show the percentage of pay tied to financial or stock performance of 83% and 64% of the total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for 2026 of our CEO and other named executive officers, respectively.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CEO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086100" cy="1473200"/>
            <wp:effectExtent l="0" t="0" r="0" b="0"/>
            <wp:docPr id="313" name="Image3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Image313" descr=""/>
                    <pic:cNvPicPr>
                      <a:picLocks noChangeAspect="1" noChangeArrowheads="1"/>
                    </pic:cNvPicPr>
                  </pic:nvPicPr>
                  <pic:blipFill>
                    <a:blip r:embed="rId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19" w:name="i-313"/>
      <w:bookmarkEnd w:id="319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AVERAGE OTHER NEOs</w:t>
      </w:r>
      <w:r>
        <w:rPr>
          <w:caps w:val="false"/>
          <w:smallCaps w:val="false"/>
          <w:strike w:val="false"/>
          <w:dstrike w:val="false"/>
          <w:color w:val="1B365D"/>
          <w:sz w:val="24"/>
          <w:u w:val="none"/>
          <w:effect w:val="none"/>
        </w:rPr>
        <w:t xml:space="preserve"> 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086100" cy="1468120"/>
            <wp:effectExtent l="0" t="0" r="0" b="0"/>
            <wp:docPr id="314" name="Image3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314" descr=""/>
                    <pic:cNvPicPr>
                      <a:picLocks noChangeAspect="1" noChangeArrowheads="1"/>
                    </pic:cNvPicPr>
                  </pic:nvPicPr>
                  <pic:blipFill>
                    <a:blip r:embed="rId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20" w:name="i-314"/>
      <w:bookmarkEnd w:id="320"/>
    </w:p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ALIGNMENT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By motivating and incentivizing our executive officers with regard to the Company’s short- and long-term goals,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Compensation and Talent Management Committee believes that the interests of the executive officers and the Company’s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stockholders are properly aligned.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Our 2026 Compensation Program</w:t>
      </w:r>
      <w:bookmarkStart w:id="321" w:name="i4ee130ca464b4a0bb7124aa7646a5d03_49838"/>
      <w:bookmarkStart w:id="322" w:name="i4ee130ca464b4a0bb7124aa7646a5d03_27477"/>
      <w:bookmarkEnd w:id="321"/>
      <w:bookmarkEnd w:id="322"/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Brief Summary of Compensation Program</w:t>
      </w:r>
    </w:p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GOALS OF THE PROGRAM: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attract, retain and motivate talented management taking competitors’ compensation practices into account;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Reinforce our strategy;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support achievement of our Company-wide objectives and increase stockholder value;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Maintain practices that support good governance.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ANNUAL CASH INCENTIVE AWARDS: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 named executive officers earned their annual cash incentive awards through our Annual Incentive Plan (“AIP”) primarily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based on the Company’s achievement of pre-determined performance goals related to Net Sales (weighted 50%)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Adjusted AIP EBITDA (weighted 50%), as defined later in the Compensation Discussion and Analysis.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Company reached 95% of its Net Sales target and 93% of its Adjusted EBITDA goals in the very challenging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macroeconomic environment, resulting in a payout of 68% of target.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 plan also allows for an individual adjustment, up or down, based on individual performance as discussed later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Discussion and Analysis.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LONG-TERM INCENTIVE AWARDS: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performance-based orientation of our long-term incentive program is 75% of our CEO’s targeted value of the long-term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incentive award allocated to performance stock units, which are earned based on performance over 3-years. The remaining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25% is delivered in restricted stock units, which vest ratably over 3-years.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 other named executive officers’ targeted value of the long-term incentive award was allocated 60% to performance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stock units and 40% to restricted stock units.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Despite very challenging 3-year goals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 for the May 2023 performance stock unit grant,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Company reached 95% of its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Net Sales target and 92% of its Adjusted EBITDA goals, resulting in a payout of 70% of target for the three-year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 period, fiscal 2024 through 2026.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45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CHALLENGING ENVIRONMENT: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During fiscal 2026, the Company navigated a challenging operating environment driven by significant supply chain disruptions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alongside broader macroeconomic pressures, including evolving U.S. and international trade restrictions and tariffs, a high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inflationary environment, and rising input costs. These conditions resulted in shortages, delays and backorders for certain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ingredients and products, most notably in our eye care product lines. Despite these headwinds, the Company delivered solid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results, maintaining strong profitability and free cash flow generation, and reduced net leverage.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This financial strength enabled meaningful capital deployment. During the fiscal year, we completed the acquisition of our key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eye care supplier, securing a critical element of our supply chain. Additionally, in March, we entered into a definitive agreement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acquire Breathe Right® and certain other brands — the largest acquisition in Company history — which closed on June 12,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2026. These actions advance our proven capital deployment strategy and demonstrate the resilience of our diversified portfolio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consumer healthcare brands.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Elements of Compensation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table provides additional information regarding the various elements of our 2026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compensation program.</w:t>
      </w:r>
    </w:p>
    <w:tbl>
      <w:tblPr>
        <w:tblW w:w="93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5"/>
        <w:gridCol w:w="109"/>
        <w:gridCol w:w="109"/>
        <w:gridCol w:w="1636"/>
        <w:gridCol w:w="3946"/>
        <w:gridCol w:w="3346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Pay Element</w:t>
            </w:r>
          </w:p>
        </w:tc>
        <w:tc>
          <w:tcPr>
            <w:tcW w:w="39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Objective</w:t>
            </w:r>
          </w:p>
        </w:tc>
        <w:tc>
          <w:tcPr>
            <w:tcW w:w="33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Purpose of the Pay Element</w:t>
            </w:r>
          </w:p>
        </w:tc>
      </w:tr>
      <w:tr>
        <w:trPr/>
        <w:tc>
          <w:tcPr>
            <w:tcW w:w="245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shd w:fill="4C4C4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276860"/>
                  <wp:effectExtent l="0" t="0" r="0" b="0"/>
                  <wp:docPr id="315" name="Image3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" name="Image3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27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23" w:name="i-315"/>
            <w:bookmarkEnd w:id="323"/>
          </w:p>
        </w:tc>
        <w:tc>
          <w:tcPr>
            <w:tcW w:w="109" w:type="dxa"/>
            <w:tcBorders/>
            <w:shd w:fill="4C4C4C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4C4C4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4C4C4C"/>
                <w:sz w:val="18"/>
                <w:u w:val="none"/>
                <w:effect w:val="none"/>
              </w:rPr>
              <w:t>Base Salary</w:t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Skills, experience, competence, performance,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responsibility, leadership and contribution 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Company.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Recognize the level of job scope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complexity, and the skills, experience,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leadership and sustained 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required by the executive.</w:t>
            </w:r>
          </w:p>
        </w:tc>
      </w:tr>
      <w:tr>
        <w:trPr/>
        <w:tc>
          <w:tcPr>
            <w:tcW w:w="24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shd w:fill="4C4C4C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shd w:fill="A6192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04875"/>
                  <wp:effectExtent l="0" t="0" r="0" b="0"/>
                  <wp:docPr id="316" name="Image3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Image3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24" w:name="i-316"/>
            <w:bookmarkEnd w:id="324"/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Annual Cash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Incentive (“AIP”)</w:t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Achieving annual target revenue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and profitability.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Reward the achievement of annual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 targets.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Ensures compensation is properly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aligned to financial performance,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including being completely at risk for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failure to meet annual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threshold targets.</w:t>
            </w:r>
          </w:p>
        </w:tc>
      </w:tr>
      <w:tr>
        <w:trPr/>
        <w:tc>
          <w:tcPr>
            <w:tcW w:w="24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Long-Term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Incentive Awards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(Performance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Stock Units,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Restricted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Stock Units)</w:t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Achieving long-term revenue growth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profitability over the three year vesting period.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Ability to increase and maintain stock price.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Achievement of adjusted cumulative EBITDA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and cumulative Revenue goals.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Continued employment with the Company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during the three-year vesting period.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Reward achievement of long-term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financial performance and strategic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corporate initiatives.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Provide a competitive mix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incentives to attract and retain top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talent and to further reinforce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alignment between the interests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management and shareholders.</w:t>
            </w:r>
          </w:p>
        </w:tc>
      </w:tr>
      <w:tr>
        <w:trPr/>
        <w:tc>
          <w:tcPr>
            <w:tcW w:w="245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shd w:fill="1B365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Say-on-Pay Results</w:t>
      </w:r>
      <w:bookmarkStart w:id="325" w:name="i4ee130ca464b4a0bb7124aa7646a5d03_27480"/>
      <w:bookmarkEnd w:id="325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 the 2025 Annual Meeting of Stockholders, approximately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97% of the shares represented, entitled to vote and voted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 the annual meeting were voted to approve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of the Company’s named executive officers 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discussed and disclosed in our 2025 Proxy Statement.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considering the results of this advisory vote on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compensation, the Compensation and Talent Management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Committee concluded that the compensation paid to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named executive officers and the Company’s overall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program enjoy strong stockholder support. We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also regularly meet with our largest stockholders and solicit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feedback on a wide range of topics.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2025 SAY ON PAY APPROVAL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651760" cy="1554480"/>
            <wp:effectExtent l="0" t="0" r="0" b="0"/>
            <wp:docPr id="317" name="Image3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317" descr=""/>
                    <pic:cNvPicPr>
                      <a:picLocks noChangeAspect="1" noChangeArrowheads="1"/>
                    </pic:cNvPicPr>
                  </pic:nvPicPr>
                  <pic:blipFill>
                    <a:blip r:embed="rId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26" w:name="i-317"/>
      <w:bookmarkEnd w:id="326"/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Compensation Governance Highlights</w:t>
      </w:r>
      <w:bookmarkStart w:id="327" w:name="i4ee130ca464b4a0bb7124aa7646a5d03_27481"/>
      <w:bookmarkEnd w:id="327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endeavor to maintain good governance standards including with respect to the oversight of our executive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policies and practices, as evidenced by the following practices of our Compensation and Talent Management Committee:</w:t>
      </w:r>
    </w:p>
    <w:tbl>
      <w:tblPr>
        <w:tblW w:w="98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1"/>
        <w:gridCol w:w="4441"/>
      </w:tblGrid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Committee is composed solely of independent directors.</w:t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Committee conducts an annual review of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compensation-related risk profile to ensure that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compensation-related risks are not reasonably likely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 have a material adverse effect on the Company.</w:t>
            </w:r>
          </w:p>
        </w:tc>
      </w:tr>
      <w:tr>
        <w:trPr/>
        <w:tc>
          <w:tcPr>
            <w:tcW w:w="54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Committee’s independent compensation consultant, CAP, is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retained directly by the Compensation and Talent Management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Committee and performs no other services for us.</w:t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Committee regularly reviews succession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talent management.</w:t>
            </w:r>
          </w:p>
        </w:tc>
      </w:tr>
      <w:tr>
        <w:trPr/>
        <w:tc>
          <w:tcPr>
            <w:tcW w:w="540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47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Executive Compensation Best Practices</w:t>
      </w:r>
      <w:bookmarkStart w:id="328" w:name="i4ee130ca464b4a0bb7124aa7646a5d03_27491"/>
      <w:bookmarkEnd w:id="328"/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8"/>
        <w:gridCol w:w="4501"/>
      </w:tblGrid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18" name="Image3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Image3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29" w:name="i-318"/>
            <w:bookmarkEnd w:id="329"/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No Evergreen Provision.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Company’s 2020 Long-Term Incentive Plan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(“2020 LTIP”) does not contain an “evergreen”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feature pursuant to which the shares authorized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for issuance under the 2020 LTIP can be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automatically replenished.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19" name="Image3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Image3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0" w:name="i-319"/>
            <w:bookmarkEnd w:id="330"/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No Repricing of Stock Options.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Without the prior approval of the Company’s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stockholders, outstanding stock options cannot be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repriced, directly or indirectly, nor may stock options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be cancelled in exchanged for stock options with an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exercise price that is less than the exercise price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original stock options.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0" name="Image3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Image3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1" w:name="i-320"/>
            <w:bookmarkEnd w:id="331"/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Clawback Policy.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All awards (and/or any amount received with respect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to such awards) under the Annual Incentive Plan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2020 LTIP are subject to reduction, cancellation,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forfeiture or recoupment to the extent necessary 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comply with applicable law, stock exchange listing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requirements, and the recoupment policy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 Company.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1" name="Image3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Image3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2" w:name="i-321"/>
            <w:bookmarkEnd w:id="332"/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Minimum Vesting Requirements.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Awards granted under the 2020 LTIP will be subject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to a minimum vesting period of one year except for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5% of the pool that is available to grant with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shorter vesting.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2" name="Image3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3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3" w:name="i-322"/>
            <w:bookmarkEnd w:id="333"/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No Dividends on Unearned Awards.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2020 LTIP prohibits the current payment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dividends or dividend equivalent rights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unearned awards.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3" name="Image3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" name="Image3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4" w:name="i-323"/>
            <w:bookmarkEnd w:id="334"/>
          </w:p>
        </w:tc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No Excessive Perquisites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We do not provide excessive perquisites. </w:t>
            </w:r>
          </w:p>
        </w:tc>
      </w:tr>
    </w:tbl>
    <w:tbl>
      <w:tblPr>
        <w:tblW w:w="488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8"/>
        <w:gridCol w:w="4471"/>
      </w:tblGrid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4" name="Image3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Image3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5" w:name="i-324"/>
            <w:bookmarkEnd w:id="335"/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No Liberal Share Recycling Provisions.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Shares retained by or delivered to the Company 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pay the exercise price of a stock option or to satisfy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tax withholding obligations in connection with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exercise, vesting or settlement of an award count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against the number of shares remaining available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under the 2020 LTIP.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5" name="Image3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" name="Image3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6" w:name="i-325"/>
            <w:bookmarkEnd w:id="336"/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No Single-trigger Change of Control Vesting.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If awards granted under the 2020 LTIP are assumed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by the successor entity in connection with a change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of control of the Company, such awards will not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automatically vest and pay out upon the change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of control.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6" name="Image3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3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7" w:name="i-326"/>
            <w:bookmarkEnd w:id="337"/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Limitation on Non-employee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Director Compensation.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2020 LTIP provides that, with respect to any one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fiscal year, the aggregate compensation that may be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granted or awarded to any one non-employee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director, including all stock awards and cash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payments shall not exceed $600,000, or $900,000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case of a nonemployee Chair of the Board 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Lead Director.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7" name="Image3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" name="Image3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8" w:name="i-327"/>
            <w:bookmarkEnd w:id="338"/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No Gross-Ups.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Our executive severance plan does not contain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Section 280G excise tax “gross-up” provision.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8" name="Image3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3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9" w:name="i-328"/>
            <w:bookmarkEnd w:id="339"/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Robust Stock Ownership Guidelines.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We maintain robust stock ownership guidelines for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both officers and directors, which are described later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 this CD&amp;A.</w:t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01295" cy="201295"/>
                  <wp:effectExtent l="0" t="0" r="0" b="0"/>
                  <wp:docPr id="329" name="Image3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" name="Image3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40" w:name="i-329"/>
            <w:bookmarkEnd w:id="340"/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No Hedging.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We prohibit hedging and limit pledging by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 Company’s directors, executive officers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 employees. </w:t>
            </w:r>
          </w:p>
        </w:tc>
      </w:tr>
    </w:tbl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Executive Compensation Decision-Making Process</w:t>
      </w:r>
      <w:bookmarkStart w:id="341" w:name="i4ee130ca464b4a0bb7124aa7646a5d03_27492"/>
      <w:bookmarkEnd w:id="341"/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Roles and Responsibilities</w:t>
      </w:r>
      <w:bookmarkStart w:id="342" w:name="i4ee130ca464b4a0bb7124aa7646a5d03_27482"/>
      <w:bookmarkEnd w:id="342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engaged Compensation Advisory Partners (“CAP”) to conduct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 analysis of the Company’s compensation levels and design for the Chief Executive Officer and the other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officers of the Company. CAP also provided market context and advice for decisions related to incentives and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compensation practices.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2026, the Compensation and Talent Management Committee evaluated the independence of CAP considering SEC rules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and NYSE listing standards, which require consideration of the following factors: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whether any other services are provided to the Company by the consultant;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fees paid by the Company as a percentage of the consulting firm’s total revenue;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policies or procedures maintained by the consulting firm that are designed to prevent a conflict of interest;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any business or personal relationships between the individual consultants involved in the engagement and a member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and Talent Management Committee;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Company stock owned by the individual consultants involved in the engagement;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any business or personal relationships between our executive officers and the consulting firm or the individual consultants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involved in the engagement.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discussed these considerations and concluded that the engagement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 CAP and the services provided to the Compensation and Talent Management Committee by CAP did not raise any conflict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of interest and that CAP is independent.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CAP did not provide any services to the Company other than in connection with its engagement by the Compensation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Talent Management Committee.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3"/>
        <w:gridCol w:w="3046"/>
        <w:gridCol w:w="1606"/>
        <w:gridCol w:w="1606"/>
        <w:gridCol w:w="3271"/>
        <w:gridCol w:w="363"/>
      </w:tblGrid>
      <w:tr>
        <w:trPr/>
        <w:tc>
          <w:tcPr>
            <w:tcW w:w="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3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29" w:type="dxa"/>
            <w:gridSpan w:val="4"/>
            <w:vMerge w:val="restart"/>
            <w:tcBorders/>
            <w:shd w:fill="1B365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Role of Compensation and Talent Management Committee</w:t>
            </w:r>
          </w:p>
        </w:tc>
        <w:tc>
          <w:tcPr>
            <w:tcW w:w="363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3" w:type="dxa"/>
            <w:tcBorders>
              <w:top w:val="single" w:sz="4" w:space="0" w:color="546886"/>
              <w:left w:val="single" w:sz="4" w:space="0" w:color="546886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29" w:type="dxa"/>
            <w:gridSpan w:val="4"/>
            <w:vMerge w:val="continue"/>
            <w:tcBorders/>
            <w:shd w:fill="1B365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63" w:type="dxa"/>
            <w:tcBorders>
              <w:top w:val="single" w:sz="4" w:space="0" w:color="546886"/>
              <w:right w:val="single" w:sz="4" w:space="0" w:color="546886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3" w:type="dxa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" w:type="dxa"/>
            <w:tcBorders>
              <w:right w:val="single" w:sz="4" w:space="0" w:color="546886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>
              <w:left w:val="single" w:sz="4" w:space="0" w:color="546886"/>
              <w:right w:val="single" w:sz="4" w:space="0" w:color="546886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Compensation and Talent Management Committee and the Board of Directors are responsible for establishing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CEO’s compensation package.</w:t>
            </w:r>
          </w:p>
        </w:tc>
      </w:tr>
      <w:tr>
        <w:trPr/>
        <w:tc>
          <w:tcPr>
            <w:tcW w:w="313" w:type="dxa"/>
            <w:tcBorders>
              <w:left w:val="single" w:sz="4" w:space="0" w:color="546886"/>
              <w:bottom w:val="single" w:sz="4" w:space="0" w:color="54688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6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" w:type="dxa"/>
            <w:tcBorders>
              <w:bottom w:val="single" w:sz="4" w:space="0" w:color="546886"/>
              <w:right w:val="single" w:sz="4" w:space="0" w:color="546886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3" w:type="dxa"/>
            <w:tcBorders>
              <w:top w:val="single" w:sz="4" w:space="0" w:color="546886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6" w:type="dxa"/>
            <w:tcBorders>
              <w:top w:val="single" w:sz="4" w:space="0" w:color="546886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top w:val="single" w:sz="4" w:space="0" w:color="546886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top w:val="single" w:sz="4" w:space="0" w:color="546886"/>
              <w:left w:val="single" w:sz="4" w:space="0" w:color="1B365D"/>
              <w:bottom w:val="single" w:sz="4" w:space="0" w:color="1B365D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>
              <w:top w:val="single" w:sz="4" w:space="0" w:color="546886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" w:type="dxa"/>
            <w:tcBorders>
              <w:top w:val="single" w:sz="4" w:space="0" w:color="546886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3" w:type="dxa"/>
            <w:tcBorders>
              <w:top w:val="single" w:sz="4" w:space="0" w:color="1B365D"/>
              <w:left w:val="single" w:sz="4" w:space="0" w:color="546886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" w:type="dxa"/>
            <w:tcBorders>
              <w:top w:val="single" w:sz="4" w:space="0" w:color="1B365D"/>
              <w:right w:val="single" w:sz="4" w:space="0" w:color="546886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9" w:type="dxa"/>
            <w:gridSpan w:val="2"/>
            <w:tcBorders>
              <w:left w:val="single" w:sz="4" w:space="0" w:color="546886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Role of Independent Consultant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CAP assisted in reviewing the competitive landscape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for executive talent and structuring the types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levels of executive compensation for review by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 and Talent Management Committee.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CAP was consulted by the Compensation and Talent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Management Committee in determining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compensation to be awarded to Mr. Lombardi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2026, and in determining his compensation program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for 2027.</w:t>
            </w:r>
          </w:p>
        </w:tc>
        <w:tc>
          <w:tcPr>
            <w:tcW w:w="1606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4" w:type="dxa"/>
            <w:gridSpan w:val="2"/>
            <w:tcBorders>
              <w:right w:val="single" w:sz="4" w:space="0" w:color="546886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Role of Management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Mr. Lombardi, our Chair, President and Chief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Officer, with the assistance of certain members of senior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management, participated in discussions with, and made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recommendations to, the Compensation and Talent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Management Committee regarding the setting of base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salaries and cash and equity incentive plan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compensation for the other executive officers.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Mr. Lombardi was assisted by certain members of senior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management and CAP in reviewing the competitive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landscape for executive talent and structuring the types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levels of executive compensation for review by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 and Talent Management Committee.</w:t>
            </w:r>
          </w:p>
        </w:tc>
      </w:tr>
      <w:tr>
        <w:trPr/>
        <w:tc>
          <w:tcPr>
            <w:tcW w:w="313" w:type="dxa"/>
            <w:tcBorders>
              <w:left w:val="single" w:sz="4" w:space="0" w:color="546886"/>
              <w:bottom w:val="single" w:sz="4" w:space="0" w:color="54688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6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bottom w:val="single" w:sz="4" w:space="0" w:color="546886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left w:val="single" w:sz="4" w:space="0" w:color="1B365D"/>
              <w:bottom w:val="single" w:sz="4" w:space="0" w:color="54688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>
              <w:bottom w:val="single" w:sz="4" w:space="0" w:color="54688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" w:type="dxa"/>
            <w:tcBorders>
              <w:bottom w:val="single" w:sz="4" w:space="0" w:color="546886"/>
              <w:right w:val="single" w:sz="4" w:space="0" w:color="546886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49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Compensation Review and Competitive Analysis</w:t>
      </w:r>
      <w:bookmarkStart w:id="343" w:name="i4ee130ca464b4a0bb7124aa7646a5d03_27499"/>
      <w:bookmarkEnd w:id="343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As part of its evaluation of the Company’s compensation packages, CAP recommended a group of peer companies that reflect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Company’s business model, as well as being within a reasonable range of the Company’s revenue, EBITDA, EBITDA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margin, and market capitalization. Because our core products are in the over-the-counter and personal care sector, there are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relatively few companies like us. As a result, we consider companies with strong brands and similar business models 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comparable peers as well as select companies in the Pharmaceutical space. In addition, given our operating model and high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margins, we consider strong EBITDA performance to be an important metric in selecting our peers.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determining compensation for 2026, the Compensation and Talent Management Committee reviewed and considered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market data provided to it by CAP related to individual pay components (salary and target annual bonus opportunity), total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cash compensation, long-term incentive target grant values, and total direct compensation, at the 25th percentile, median,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75th percentile of the peer group. The Compensation and Talent Management Committee intends compensation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approximate the median level of compensation offered to similarly situated executive officers at companies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Company’s peer group.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Compensation and Talent Management Committee approved the following peer group:</w:t>
      </w:r>
    </w:p>
    <w:tbl>
      <w:tblPr>
        <w:tblW w:w="56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96"/>
        <w:gridCol w:w="3076"/>
      </w:tblGrid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72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bookmarkStart w:id="344" w:name="i36f47e524876498aa06ef9073dd5f1f4_0-0-1-"/>
            <w:bookmarkEnd w:id="344"/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2026 Peer Group</w:t>
            </w:r>
          </w:p>
        </w:tc>
      </w:tr>
      <w:tr>
        <w:trPr/>
        <w:tc>
          <w:tcPr>
            <w:tcW w:w="25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Amphastar Pharmaceuticals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B&amp;G Foods Holdings Corp.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Church &amp; Dwight Co.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Energizer Holdings, Inc.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Helen of Troy Limited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BellRing Brands, Inc.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USANA Health Sciences, Inc.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Utz Brands</w:t>
            </w:r>
          </w:p>
        </w:tc>
        <w:tc>
          <w:tcPr>
            <w:tcW w:w="30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Pacira BioSciences, Inc.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Calavo Growers Inc.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Edgewell Personal Care Company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Hain Celestial Group, Inc.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Spectrum Brands Holdings Inc.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Simply Good Foods Company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Corcept Therapeutics Incorporated</w:t>
            </w:r>
          </w:p>
        </w:tc>
      </w:tr>
      <w:tr>
        <w:trPr/>
        <w:tc>
          <w:tcPr>
            <w:tcW w:w="259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2026 compensation benchmarking, the Compensation and Talent Management Committee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removed Jazz Pharmaceuticals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(revenue no longer comparable), Primo Water (merged) and Vista Outdoor (split and acquired) and added Spectrum Brands,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BellRing Brands and Simply Good Foods based on their similar financial profile.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For 2027 compensation planning, the Compensation and Talent Management Committee removed Calavo Growers Inc. 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they had been facing operational issues and have since been acquired in May 2026. While market data is an important factor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setting pay, it is not the only factor we consider. For example, an executive officer’s total compensation may be higher 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lower than the market median based on the level of responsibility, individual experience and performance in a particular year.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some situations, we will also use compensation survey data as an additional point of reference for select named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officers.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2026 NEO Compensation</w:t>
      </w:r>
      <w:bookmarkStart w:id="345" w:name="i4ee130ca464b4a0bb7124aa7646a5d03_27495"/>
      <w:bookmarkStart w:id="346" w:name="i4ee130ca464b4a0bb7124aa7646a5d03_27493"/>
      <w:bookmarkEnd w:id="345"/>
      <w:bookmarkEnd w:id="346"/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Base Salary</w:t>
      </w:r>
      <w:bookmarkStart w:id="347" w:name="i4ee130ca464b4a0bb7124aa7646a5d03_27500"/>
      <w:bookmarkStart w:id="348" w:name="i4ee130ca464b4a0bb7124aa7646a5d03_27484"/>
      <w:bookmarkEnd w:id="347"/>
      <w:bookmarkEnd w:id="348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determines the base salary for our executive officers by first reviewing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peer group salaries for similarly situated positions and then adjusting such salaries as necessary based on the scope of work,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skills, experience, responsibilities, performance and seniority of the executive and the recommendation of the Chief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Officer (except in the case of his own compensation, which is determined by the Compensation and Talent Management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Committee and the Board of Directors). In addition, with respect to promotions and new hires, the Compensation and Talent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Management Committee considers the predecessor’s base salary. The Company views base salary as a fixed component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executive compensation that compensates the executive officer for the daily responsibilities assumed in keeping the Company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operating throughout the year. The Compensation and Talent Management Committee reviews executive officers’ salaries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annually at the end of the fiscal year and establishes the base salaries for the upcoming fiscal year. The base salaries paid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named executive officers during 2026 are set forth in the “Salary” column of the Summary Compensation table later in this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Proxy Statement.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In May 2026, the Compensation and Talent Management Committee approved adjustments to base salaries for fiscal 2027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move each closer to the median of the peer group, as set forth below:</w:t>
      </w:r>
    </w:p>
    <w:tbl>
      <w:tblPr>
        <w:tblW w:w="54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6"/>
        <w:gridCol w:w="115"/>
        <w:gridCol w:w="1100"/>
        <w:gridCol w:w="115"/>
        <w:gridCol w:w="1100"/>
        <w:gridCol w:w="1741"/>
      </w:tblGrid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21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  <w:shd w:fill="FFFFFF" w:val="clear"/>
              </w:rPr>
              <w:t>FY2026</w:t>
            </w: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21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  <w:shd w:fill="FFFFFF" w:val="clear"/>
              </w:rPr>
              <w:t>FY2027</w:t>
            </w: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74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% Increase Effective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  <w:shd w:fill="FFFFFF" w:val="clear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  <w:shd w:fill="FFFFFF" w:val="clear"/>
              </w:rPr>
              <w:t>April 1, 2026*</w:t>
            </w:r>
          </w:p>
        </w:tc>
      </w:tr>
      <w:tr>
        <w:trPr/>
        <w:tc>
          <w:tcPr>
            <w:tcW w:w="124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Lombardi</w:t>
            </w:r>
          </w:p>
        </w:tc>
        <w:tc>
          <w:tcPr>
            <w:tcW w:w="115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$1,000,000</w:t>
            </w:r>
          </w:p>
        </w:tc>
        <w:tc>
          <w:tcPr>
            <w:tcW w:w="115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$1,050,000</w:t>
            </w:r>
          </w:p>
        </w:tc>
        <w:tc>
          <w:tcPr>
            <w:tcW w:w="174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5%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Ms. Sacco</w:t>
            </w:r>
          </w:p>
        </w:tc>
        <w:tc>
          <w:tcPr>
            <w:tcW w:w="11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$715,000</w:t>
            </w:r>
          </w:p>
        </w:tc>
        <w:tc>
          <w:tcPr>
            <w:tcW w:w="11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$736,000</w:t>
            </w:r>
          </w:p>
        </w:tc>
        <w:tc>
          <w:tcPr>
            <w:tcW w:w="17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Mekhail</w:t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$544,000</w:t>
            </w:r>
          </w:p>
        </w:tc>
        <w:tc>
          <w:tcPr>
            <w:tcW w:w="1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$555,000</w:t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P’Pool</w:t>
            </w:r>
          </w:p>
        </w:tc>
        <w:tc>
          <w:tcPr>
            <w:tcW w:w="11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$562,000</w:t>
            </w:r>
          </w:p>
        </w:tc>
        <w:tc>
          <w:tcPr>
            <w:tcW w:w="11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$579,000</w:t>
            </w:r>
          </w:p>
        </w:tc>
        <w:tc>
          <w:tcPr>
            <w:tcW w:w="17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Zerillo</w:t>
            </w:r>
          </w:p>
        </w:tc>
        <w:tc>
          <w:tcPr>
            <w:tcW w:w="11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$381,000</w:t>
            </w:r>
          </w:p>
        </w:tc>
        <w:tc>
          <w:tcPr>
            <w:tcW w:w="11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  <w:shd w:fill="FFFFFF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  <w:shd w:fill="FFFFFF" w:val="clear"/>
              </w:rPr>
              <w:t>$395,000</w:t>
            </w:r>
          </w:p>
        </w:tc>
        <w:tc>
          <w:tcPr>
            <w:tcW w:w="174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3.8%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*Increases approved in May were retroactive to beginning of fiscal year.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Annual Cash Incentive Plan</w:t>
      </w:r>
      <w:bookmarkStart w:id="349" w:name="i4ee130ca464b4a0bb7124aa7646a5d03_27501"/>
      <w:bookmarkEnd w:id="349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Annual Incentive Plan (“AIP”) provides our executive officers with the ability to earn additional cash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based on a percentage of base salary and the Company’s performance. The Company views the AIP as a performance-based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component of executive compensation that motivates and incentivizes the executive officers to achieve the short-term goals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Company and our stockholders.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For 2026, the Compensation and Talent Management Committee chose the following as the corporate financial goals for the AIP:</w:t>
      </w:r>
    </w:p>
    <w:tbl>
      <w:tblPr>
        <w:tblW w:w="101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  <w:gridCol w:w="109"/>
        <w:gridCol w:w="4411"/>
        <w:gridCol w:w="109"/>
        <w:gridCol w:w="3511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Metric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Definition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Rationale for Selection</w:t>
            </w:r>
          </w:p>
        </w:tc>
      </w:tr>
      <w:tr>
        <w:trPr/>
        <w:tc>
          <w:tcPr>
            <w:tcW w:w="19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AIP net sales (50%)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Drive consistent top-line growth.</w:t>
            </w:r>
          </w:p>
        </w:tc>
      </w:tr>
      <w:tr>
        <w:trPr/>
        <w:tc>
          <w:tcPr>
            <w:tcW w:w="199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AIP Adjusted EBITDA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(50%)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plus depreciation and amortization,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interest expense, integration, transition, purchase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accounting, legal and various other costs associated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with acquisitions and divestitures, tradename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impairment and certain tax adjustments.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Drive stockholder value creation in terms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of growth of earnings per share and free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flow.</w:t>
            </w:r>
          </w:p>
        </w:tc>
      </w:tr>
      <w:tr>
        <w:trPr/>
        <w:tc>
          <w:tcPr>
            <w:tcW w:w="199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Typically, no bonuses are payable under the AIP unless the Company achieves threshold performance for one of the goals set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for net sales or Adjusted EBITDA. If the Company achieves both of these threshold goals, then each of our named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officer’s bonus is subject to a maximum award of 200% of their target bonus based on achievement with respect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Company performance factors. The award will be subject to an additional individual performance factor that may be added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raise the total annual bonus for the executive above 200% of their target bonus up to the maximum of the individual award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factor of 20%. The individual performance factor may also decrease payouts by up to 20%.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Payout Formula</w:t>
      </w:r>
    </w:p>
    <w:tbl>
      <w:tblPr>
        <w:tblW w:w="72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71"/>
        <w:gridCol w:w="120"/>
        <w:gridCol w:w="121"/>
        <w:gridCol w:w="2251"/>
        <w:gridCol w:w="120"/>
        <w:gridCol w:w="121"/>
        <w:gridCol w:w="1876"/>
        <w:gridCol w:w="180"/>
        <w:gridCol w:w="181"/>
        <w:gridCol w:w="1096"/>
      </w:tblGrid>
      <w:tr>
        <w:trPr/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71" w:type="dxa"/>
            <w:vMerge w:val="restart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Base Salary</w:t>
            </w:r>
          </w:p>
        </w:tc>
        <w:tc>
          <w:tcPr>
            <w:tcW w:w="120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1" w:type="dxa"/>
            <w:vMerge w:val="restart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Company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Performance Factor (0%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to 200%)</w:t>
            </w:r>
          </w:p>
        </w:tc>
        <w:tc>
          <w:tcPr>
            <w:tcW w:w="120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vMerge w:val="restart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Individual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Performance Factor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(+/-20%)</w:t>
            </w:r>
          </w:p>
        </w:tc>
        <w:tc>
          <w:tcPr>
            <w:tcW w:w="180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vMerge w:val="restart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shd w:fill="1B365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AIP Payout</w:t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1" w:type="dxa"/>
            <w:gridSpan w:val="2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2"/>
                <w:u w:val="none"/>
                <w:effect w:val="none"/>
              </w:rPr>
              <w:t>×</w:t>
            </w:r>
          </w:p>
        </w:tc>
        <w:tc>
          <w:tcPr>
            <w:tcW w:w="2251" w:type="dxa"/>
            <w:vMerge w:val="continue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1" w:type="dxa"/>
            <w:gridSpan w:val="2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2"/>
                <w:u w:val="none"/>
                <w:effect w:val="none"/>
              </w:rPr>
              <w:t>+</w:t>
            </w:r>
          </w:p>
        </w:tc>
        <w:tc>
          <w:tcPr>
            <w:tcW w:w="1876" w:type="dxa"/>
            <w:vMerge w:val="continue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61" w:type="dxa"/>
            <w:gridSpan w:val="2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22"/>
                <w:u w:val="none"/>
                <w:effect w:val="none"/>
              </w:rPr>
              <w:t>=</w:t>
            </w: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 </w:t>
            </w:r>
          </w:p>
        </w:tc>
        <w:tc>
          <w:tcPr>
            <w:tcW w:w="1096" w:type="dxa"/>
            <w:vMerge w:val="continue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shd w:fill="1B365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1" w:type="dxa"/>
            <w:vMerge w:val="continue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vMerge w:val="continue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0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vMerge w:val="continue"/>
            <w:tcBorders>
              <w:top w:val="single" w:sz="4" w:space="0" w:color="1B365D"/>
              <w:left w:val="single" w:sz="4" w:space="0" w:color="1B365D"/>
              <w:bottom w:val="single" w:sz="4" w:space="0" w:color="1B365D"/>
              <w:right w:val="single" w:sz="4" w:space="0" w:color="1B365D"/>
            </w:tcBorders>
            <w:shd w:fill="1B365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identified a target bonus, expressed as a percentage of their base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salary, for each named executive officer, which for 2026 were as follows:</w:t>
      </w:r>
    </w:p>
    <w:tbl>
      <w:tblPr>
        <w:tblW w:w="39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6"/>
        <w:gridCol w:w="2716"/>
      </w:tblGrid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NEO</w:t>
            </w:r>
          </w:p>
        </w:tc>
        <w:tc>
          <w:tcPr>
            <w:tcW w:w="27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Target Bonus (% of Base Salary)</w:t>
            </w:r>
          </w:p>
        </w:tc>
      </w:tr>
      <w:tr>
        <w:trPr/>
        <w:tc>
          <w:tcPr>
            <w:tcW w:w="124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Lombardi</w:t>
            </w:r>
          </w:p>
        </w:tc>
        <w:tc>
          <w:tcPr>
            <w:tcW w:w="271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125%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Ms. Sacco</w:t>
            </w:r>
          </w:p>
        </w:tc>
        <w:tc>
          <w:tcPr>
            <w:tcW w:w="27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75%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Mekhail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60%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P’Pool</w:t>
            </w:r>
          </w:p>
        </w:tc>
        <w:tc>
          <w:tcPr>
            <w:tcW w:w="27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50%</w:t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Zerillo</w:t>
            </w:r>
          </w:p>
        </w:tc>
        <w:tc>
          <w:tcPr>
            <w:tcW w:w="27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40%</w:t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51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table reflects the 2026 net sales, Adjusted EBITDA and payout levels approved by the Compensation and Talent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Management Committee that correspond to the threshold, target and maximum performance by the Company. The named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executive officers earn no payment if performance is below threshold or a payment on a sliding-scale between the minimum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(threshold) amount and the maximum amount, inclusive of the target amount based on the Company’s performance.</w:t>
      </w:r>
    </w:p>
    <w:tbl>
      <w:tblPr>
        <w:tblW w:w="91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91"/>
        <w:gridCol w:w="1238"/>
        <w:gridCol w:w="109"/>
        <w:gridCol w:w="2228"/>
        <w:gridCol w:w="1498"/>
        <w:gridCol w:w="2120"/>
        <w:gridCol w:w="706"/>
      </w:tblGrid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6" w:type="dxa"/>
            <w:gridSpan w:val="3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Performance Level/Payout (MIL)</w:t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Metric</w:t>
            </w:r>
          </w:p>
        </w:tc>
        <w:tc>
          <w:tcPr>
            <w:tcW w:w="123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Weighting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(50%)</w:t>
            </w:r>
          </w:p>
        </w:tc>
        <w:tc>
          <w:tcPr>
            <w:tcW w:w="149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(100%)</w:t>
            </w:r>
          </w:p>
        </w:tc>
        <w:tc>
          <w:tcPr>
            <w:tcW w:w="212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(200%)</w:t>
            </w:r>
          </w:p>
        </w:tc>
        <w:tc>
          <w:tcPr>
            <w:tcW w:w="70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Payout</w:t>
            </w:r>
          </w:p>
        </w:tc>
      </w:tr>
      <w:tr>
        <w:trPr/>
        <w:tc>
          <w:tcPr>
            <w:tcW w:w="129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vMerge w:val="restart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68%</w:t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AIP Net Sales</w:t>
            </w:r>
          </w:p>
        </w:tc>
        <w:tc>
          <w:tcPr>
            <w:tcW w:w="123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1520" cy="731520"/>
                  <wp:effectExtent l="0" t="0" r="0" b="0"/>
                  <wp:docPr id="330" name="Image3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Image3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0" w:name="i-330"/>
            <w:bookmarkEnd w:id="350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0" cy="628650"/>
                  <wp:effectExtent l="0" t="0" r="0" b="0"/>
                  <wp:docPr id="331" name="Image3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" name="Image3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1" w:name="i-331"/>
            <w:bookmarkEnd w:id="351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706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8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AIP Adjusted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EBITDA</w:t>
            </w:r>
          </w:p>
        </w:tc>
        <w:tc>
          <w:tcPr>
            <w:tcW w:w="123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1520" cy="731520"/>
                  <wp:effectExtent l="0" t="0" r="0" b="0"/>
                  <wp:docPr id="332" name="Image3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Image3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2" w:name="i-332"/>
            <w:bookmarkEnd w:id="352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0" cy="628650"/>
                  <wp:effectExtent l="0" t="0" r="0" b="0"/>
                  <wp:docPr id="333" name="Image3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" name="Image3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3" w:name="i-333"/>
            <w:bookmarkEnd w:id="353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706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Following the close of the fiscal year, the Compensation and Talent Management Committee assesses the Company’s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performance against the pre-determined performance targets and determines the amount, if any, of bonus earned by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executive officers. To be eligible to receive cash incentive compensation, the executive must be employed with the Company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 the time payments are made by the Company. Even with a very challenging macroeconomic environment and supply chain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disruptions in 2026, our 2026 Net Sales and Adjusted EBITDA for the Company were $1,088.7 million and $353.8 million,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respectively. Based on the results of these financial metrics, our named executive officers earned 68% of their target bonus.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While the entire leadership team performed very well in this challenging year, the Compensation and Talent Management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Committee elected to award additional bonus to Mr. Zerillo. When determining the adjustments to individual bonus payouts,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considered each named executive officers’ achievement against their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respective goals. Any adjustments to the payouts are linked to the goals and objectives set for the individual by the CEO or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case of the CEO, by the Compensation and Talent Management Committee.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following table reflects each named executive officer’s target bonus and actual payout.</w:t>
      </w:r>
    </w:p>
    <w:tbl>
      <w:tblPr>
        <w:tblW w:w="61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6"/>
        <w:gridCol w:w="112"/>
        <w:gridCol w:w="1073"/>
        <w:gridCol w:w="158"/>
        <w:gridCol w:w="1297"/>
        <w:gridCol w:w="154"/>
        <w:gridCol w:w="957"/>
        <w:gridCol w:w="121"/>
        <w:gridCol w:w="1034"/>
      </w:tblGrid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18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Target Bonus</w:t>
            </w:r>
          </w:p>
        </w:tc>
        <w:tc>
          <w:tcPr>
            <w:tcW w:w="145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Company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Payout (68%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of Target Bonus)</w:t>
            </w:r>
          </w:p>
        </w:tc>
        <w:tc>
          <w:tcPr>
            <w:tcW w:w="1111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Individual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Adjustment</w:t>
            </w:r>
          </w:p>
        </w:tc>
        <w:tc>
          <w:tcPr>
            <w:tcW w:w="115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Total Payout</w:t>
            </w:r>
          </w:p>
        </w:tc>
      </w:tr>
      <w:tr>
        <w:trPr/>
        <w:tc>
          <w:tcPr>
            <w:tcW w:w="124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Lombardi</w:t>
            </w:r>
          </w:p>
        </w:tc>
        <w:tc>
          <w:tcPr>
            <w:tcW w:w="112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$1,250,000</w:t>
            </w:r>
          </w:p>
        </w:tc>
        <w:tc>
          <w:tcPr>
            <w:tcW w:w="15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$850,000</w:t>
            </w:r>
          </w:p>
        </w:tc>
        <w:tc>
          <w:tcPr>
            <w:tcW w:w="15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</w:t>
            </w:r>
          </w:p>
        </w:tc>
        <w:tc>
          <w:tcPr>
            <w:tcW w:w="12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$850,000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Ms. Sacco</w:t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$536,250</w:t>
            </w:r>
          </w:p>
        </w:tc>
        <w:tc>
          <w:tcPr>
            <w:tcW w:w="1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$364,650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$364,650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Mekhail</w:t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$326,400</w:t>
            </w:r>
          </w:p>
        </w:tc>
        <w:tc>
          <w:tcPr>
            <w:tcW w:w="1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$221,952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</w:t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$221,952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P’Pool</w:t>
            </w:r>
          </w:p>
        </w:tc>
        <w:tc>
          <w:tcPr>
            <w:tcW w:w="1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$281,000</w:t>
            </w:r>
          </w:p>
        </w:tc>
        <w:tc>
          <w:tcPr>
            <w:tcW w:w="1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$191,080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$191,080</w:t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Zerillo</w:t>
            </w:r>
          </w:p>
        </w:tc>
        <w:tc>
          <w:tcPr>
            <w:tcW w:w="11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$152,400</w:t>
            </w:r>
          </w:p>
        </w:tc>
        <w:tc>
          <w:tcPr>
            <w:tcW w:w="15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$103,632</w:t>
            </w:r>
          </w:p>
        </w:tc>
        <w:tc>
          <w:tcPr>
            <w:tcW w:w="15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$7,772</w:t>
            </w:r>
          </w:p>
        </w:tc>
        <w:tc>
          <w:tcPr>
            <w:tcW w:w="12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$111,404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2026 AIP payouts to our named executive officers also are set forth in the “Non-Equity Incentive Plan Compensation”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column of the Summary Compensation table later in this Proxy Statement.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Key achievements by our named executive officers considered by the Compensation and Talent Management Committee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2026 included:</w:t>
      </w:r>
    </w:p>
    <w:tbl>
      <w:tblPr>
        <w:tblW w:w="96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6"/>
        <w:gridCol w:w="6736"/>
        <w:gridCol w:w="1081"/>
      </w:tblGrid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</w:t>
            </w:r>
          </w:p>
        </w:tc>
        <w:tc>
          <w:tcPr>
            <w:tcW w:w="673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Individual Performance Highlights</w:t>
            </w:r>
          </w:p>
        </w:tc>
        <w:tc>
          <w:tcPr>
            <w:tcW w:w="108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Individual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Adjustment</w:t>
            </w:r>
          </w:p>
        </w:tc>
      </w:tr>
      <w:tr>
        <w:trPr/>
        <w:tc>
          <w:tcPr>
            <w:tcW w:w="181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Ronald M. Lombardi</w:t>
            </w:r>
          </w:p>
        </w:tc>
        <w:tc>
          <w:tcPr>
            <w:tcW w:w="67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For Mr. Lombardi, our President and Chief Executive Officer, (a) successfully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lead the Company through the challenging macroeconomic environment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delivering solid financial performance, (b) delivered cash flow of over $245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million, (c) delivered significant debt paydown and significant stock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repurchases, (d) completed the acquisition of the Company's key eye care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supplier, securing a critical element of the supply chain, and (e) reached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agreement to acquire Breathe Right and associated brands, the largest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acquisition in Company history, advancing the Company's proven capital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deployment strategy. </w:t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181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Christine Sacco</w:t>
            </w:r>
          </w:p>
        </w:tc>
        <w:tc>
          <w:tcPr>
            <w:tcW w:w="67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For Ms. Sacco, our Chief Financial Officer &amp; Chief Operating Officer,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(a) helped successfully lead the Company through the challenging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macroeconomic environment created by significant supply chain challenges,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delivering a solid financial performance, (b) delivered cash flow of over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$245 million, (c) managed significant debt paydown with leverage below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targeted level by year end, (d) delivered against significant stock repurchase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program, (e) assisted in the acquisition and integration of the Company's key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eye care supplier, (f) reached agreement to acquire Breathe Right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associated brands, (g) maintained and strengthened procedures and policies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in support of effective controls, and (h) continued enhancements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information management, technology and cybersecurity.</w:t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181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Adel Mekhail</w:t>
            </w:r>
          </w:p>
        </w:tc>
        <w:tc>
          <w:tcPr>
            <w:tcW w:w="67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For Mr. Mekhail, our Executive Vice President of Marketing &amp; Sales,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(a) successfully drove North American financial performance in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challenging macroeconomic environment which included significant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supply chain challenges, (b) actively managed marketing initiatives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spend to continue to deliver strong sales and profit growth in e-commerce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channels, (c) successfully lead margin improvement projects to reduce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impact of inflation, and (d) successfully launched several new products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extending product lines and growing revenue and profitability.</w:t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181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William C. P’Pool</w:t>
            </w:r>
          </w:p>
        </w:tc>
        <w:tc>
          <w:tcPr>
            <w:tcW w:w="67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For Mr. P’Pool, our Senior Vice President, General Counsel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Secretary, (a) strong performance in providing legal advice to Company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particularly with regard to management of operations in context 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significant supply chain challenges, (b) completed the acquisition 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Company's key eye care supplier, (c) reached agreement to acquire Breathe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Right and associated brands — the largest acquisition in Company history, (d)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strengthened the organization in terms of business conduct, compliance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control, and (e) managed the legal function to support the Company’s results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secured, protected and defended the Company’s legal rights and interests.</w:t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181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Jeffrey Zerillo</w:t>
            </w:r>
          </w:p>
        </w:tc>
        <w:tc>
          <w:tcPr>
            <w:tcW w:w="67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For Mr. Zerillo, our Senior Vice President, Operations, (a) managed the supply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chain to minimize disruption to the business despite significant supply chain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challenges, (b) made meaningful progress in customer service levels, (c)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effectively delivered productivity and savings above targeted levels, (d)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continued evolution of the Company’s manufacturing partner network capabilities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 address supply chain constraints, challenged suppliers and support business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growth, and (e) assisted with the acquisition and integration of the Company's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key eye care supplier, securing a critical element of the supply chain.</w:t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+7.5%</w:t>
            </w:r>
          </w:p>
        </w:tc>
      </w:tr>
      <w:tr>
        <w:trPr/>
        <w:tc>
          <w:tcPr>
            <w:tcW w:w="18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53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Equity Awards</w:t>
      </w:r>
      <w:bookmarkStart w:id="354" w:name="i4ee130ca464b4a0bb7124aa7646a5d03_27502"/>
      <w:bookmarkEnd w:id="354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Executive officers of the Company are eligible to receive annual equity awards under our 2020 LTIP. Awards under the 2020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LTIP tie a significant portion of an executive officer’s long-term compensation directly to stock price appreciation realized by all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our stockholders and aligns an executive officer’s interests with those of our stockholders. Under the 2020 LTIP, our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officers may receive performance stock units and restricted stock units.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Overall Philosophy and Objectives Regarding Equity Awards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Company views the above-mentioned equity awards as components of executive compensation that motivate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incentivize management to achieve the long-term performance goals (including stock price appreciation) of the Company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our stockholders.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believes equity-based incentive compensation aligns executive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stockholder interests because:</w:t>
      </w:r>
    </w:p>
    <w:tbl>
      <w:tblPr>
        <w:tblW w:w="85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326"/>
        <w:gridCol w:w="109"/>
        <w:gridCol w:w="109"/>
        <w:gridCol w:w="109"/>
        <w:gridCol w:w="2626"/>
        <w:gridCol w:w="109"/>
        <w:gridCol w:w="109"/>
        <w:gridCol w:w="109"/>
        <w:gridCol w:w="264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250825"/>
                  <wp:effectExtent l="0" t="0" r="0" b="0"/>
                  <wp:docPr id="334" name="Image3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Image3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25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5" w:name="i-334"/>
            <w:bookmarkEnd w:id="355"/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288290"/>
                  <wp:effectExtent l="0" t="0" r="0" b="0"/>
                  <wp:docPr id="335" name="Image3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" name="Image3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6" w:name="i-335"/>
            <w:bookmarkEnd w:id="356"/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301625"/>
                  <wp:effectExtent l="0" t="0" r="0" b="0"/>
                  <wp:docPr id="336" name="Image3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Image3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7" w:name="i-336"/>
            <w:bookmarkEnd w:id="357"/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use of multi-year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vesting for equity awards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encourages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retention and emphasizes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 attainment of long-term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 goals.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Paying a significant portion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executive compensation with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long-term incentives motivates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incentivizes the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officers to meet the long-term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performance goals set by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Compensation and Talent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Management Committee.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executive officers will hold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significant amounts of equity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 the Company as required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by the Company’s Stock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Ownership Guidelines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will be motivated to increase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stockholder value over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long-term.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right w:val="single" w:sz="4" w:space="0" w:color="1B365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May 2025, following discussions with CAP and review of the benchmarking data for our executive officers, the Compensation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Talent Management Committee increased target award values for each executive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FY2026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to move each closer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median of the peer group. Target award values increased, as provided in the table below.</w:t>
      </w:r>
    </w:p>
    <w:tbl>
      <w:tblPr>
        <w:tblW w:w="38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6"/>
        <w:gridCol w:w="135"/>
        <w:gridCol w:w="1290"/>
        <w:gridCol w:w="1141"/>
      </w:tblGrid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42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FY2026 Targeted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Award Value</w:t>
            </w:r>
          </w:p>
        </w:tc>
        <w:tc>
          <w:tcPr>
            <w:tcW w:w="114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bookmarkStart w:id="358" w:name="i8a585bb92d4d490db845ba1eed75280d_0-3-1-"/>
            <w:bookmarkEnd w:id="358"/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% Increase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from FY2025</w:t>
            </w:r>
          </w:p>
        </w:tc>
      </w:tr>
      <w:tr>
        <w:trPr/>
        <w:tc>
          <w:tcPr>
            <w:tcW w:w="124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Lombardi</w:t>
            </w:r>
          </w:p>
        </w:tc>
        <w:tc>
          <w:tcPr>
            <w:tcW w:w="135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$4,100,000</w:t>
            </w:r>
          </w:p>
        </w:tc>
        <w:tc>
          <w:tcPr>
            <w:tcW w:w="114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2.5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Ms. Sacco</w:t>
            </w:r>
          </w:p>
        </w:tc>
        <w:tc>
          <w:tcPr>
            <w:tcW w:w="1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$1,609,000</w:t>
            </w:r>
          </w:p>
        </w:tc>
        <w:tc>
          <w:tcPr>
            <w:tcW w:w="11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2.2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Mekhail</w:t>
            </w:r>
          </w:p>
        </w:tc>
        <w:tc>
          <w:tcPr>
            <w:tcW w:w="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$544,000</w:t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3.0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P’Pool</w:t>
            </w:r>
          </w:p>
        </w:tc>
        <w:tc>
          <w:tcPr>
            <w:tcW w:w="13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$562,000</w:t>
            </w:r>
          </w:p>
        </w:tc>
        <w:tc>
          <w:tcPr>
            <w:tcW w:w="11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2.9</w:t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Zerillo</w:t>
            </w:r>
          </w:p>
        </w:tc>
        <w:tc>
          <w:tcPr>
            <w:tcW w:w="13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$381,000</w:t>
            </w:r>
          </w:p>
        </w:tc>
        <w:tc>
          <w:tcPr>
            <w:tcW w:w="114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3.0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our CEO, the Compensation and Talent Management Committee allocated seventy-five percent (75%) of his targeted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equity award value to performance stock units and the remaining twenty-five percent (25%) to restricted stock units. For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other named executive officers, the Compensation and Talent Management Committee allocated sixty percent (60%)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targeted equity award value to performance stock units, and forty percent (40%) to restricted stock units. In each case,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actual number of stock units granted was determined by dividing the allocated dollar value by the closing price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Company’s common stock on the grant date. The 2026 equity grants to our named executive officers are set forth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Grants of Plan-Based Awards table later in this Proxy Statement.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Vesting Criteria for Equity Awards</w:t>
      </w:r>
    </w:p>
    <w:tbl>
      <w:tblPr>
        <w:tblW w:w="89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870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Performance Stock Units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Vest at the end of three years if company achieves pre-established goals relative to cumulative adjusted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EBITDA and cumulative Net Sales (each weighted 50%).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actual payout is determined based on the Company’s actual performance aggregated over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three-year period on a sliding-scale between the minimum (threshold) amount and the maximum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amount, inclusive of the target amount.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Participants can earn up to 200% of the target number of shares with exceptional performance.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If performance is below target, but above threshold, participants can earn 50% of their award.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If performance is below threshold, participants earn 0% of their award.</w:t>
            </w:r>
          </w:p>
        </w:tc>
      </w:tr>
      <w:tr>
        <w:trPr/>
        <w:tc>
          <w:tcPr>
            <w:tcW w:w="124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Restricted Stock Units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Vest ratably over three years based on service.</w:t>
            </w:r>
          </w:p>
        </w:tc>
      </w:tr>
      <w:tr>
        <w:trPr/>
        <w:tc>
          <w:tcPr>
            <w:tcW w:w="12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2026, the Compensation and Talent Management Committee chose the following as the corporate financial goals for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3-year Performance Stock Units:</w:t>
      </w:r>
    </w:p>
    <w:tbl>
      <w:tblPr>
        <w:tblW w:w="93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66"/>
        <w:gridCol w:w="109"/>
        <w:gridCol w:w="3616"/>
        <w:gridCol w:w="109"/>
        <w:gridCol w:w="3556"/>
      </w:tblGrid>
      <w:tr>
        <w:trPr/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Metric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Definition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Rationale for Selection</w:t>
            </w:r>
          </w:p>
        </w:tc>
      </w:tr>
      <w:tr>
        <w:trPr/>
        <w:tc>
          <w:tcPr>
            <w:tcW w:w="196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Cumulative Net Sales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1520" cy="731520"/>
                  <wp:effectExtent l="0" t="0" r="0" b="0"/>
                  <wp:docPr id="337" name="Image3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" name="Image3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9" w:name="i-337"/>
            <w:bookmarkEnd w:id="359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Company’s cumulative annual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Sales,” as reported in the Company’s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audited financial statements for the 3-year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performance period, adjusted to exclude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divestitures, acquisitions, changes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accounting policy and other adjustments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deemed appropriate by the Committee.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Drive consistent top-line growth over time.</w:t>
            </w:r>
          </w:p>
        </w:tc>
      </w:tr>
      <w:tr>
        <w:trPr/>
        <w:tc>
          <w:tcPr>
            <w:tcW w:w="196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Cumulative EBITDA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31520" cy="731520"/>
                  <wp:effectExtent l="0" t="0" r="0" b="0"/>
                  <wp:docPr id="338" name="Image3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3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0" w:name="i-338"/>
            <w:bookmarkEnd w:id="360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Company’s cumulative reported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earnings (loss) excluding earnings (loss)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from discontinued operations, net 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provision (benefit) for income taxes, net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interest income and expense, net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depreciation and amortization. EBITDA for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3-year performance period is adjusted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 exclude divestitures, acquisitions, costs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associated with integration, transition,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purchase accounting, impairment charges,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changes in accounting policy and 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adjustments deemed appropriate by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 Committee.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Drive stockholder value creation in terms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of growth of earnings per share and free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flow.</w:t>
            </w:r>
          </w:p>
        </w:tc>
      </w:tr>
      <w:tr>
        <w:trPr/>
        <w:tc>
          <w:tcPr>
            <w:tcW w:w="196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utilize the same metrics in our annual incentive and PSU program, though they are over different timeframes.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Committee regularly reviews what metrics align most closely with our business strategy and considers potential alternatives.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Management along with the Committee continue to believe Net Sales and EBITDA, are the metrics that drive value for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business and provide line-of-sight to participants.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color w:val="1B365D"/>
          <w:sz w:val="18"/>
          <w:u w:val="none"/>
          <w:effect w:val="none"/>
        </w:rPr>
        <w:t>Treatment Upon Retirement.</w:t>
      </w:r>
      <w:r>
        <w:rPr>
          <w:caps w:val="false"/>
          <w:smallCaps w:val="false"/>
          <w:strike w:val="false"/>
          <w:dstrike w:val="false"/>
          <w:color w:val="1B365D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approved a “Rule of 62” policy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long-term equity awards granted in 2019 and beyond. Pursuant to the “Rule of 62,” if an employee retires from the Company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with at least five years of service and a total of age and years of service at retirement equal to or greater than 62, then his 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her outstanding awards will vest, based on actual company performance at the end of the 3-year performance period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case of performance units, and in each case prorated based upon the employee’s length of employment during the vesting 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performance period, as applicable. In each case the employee must give at least six months’ notice prior to retirement.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55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/>
          <w:i/>
          <w:strike w:val="false"/>
          <w:dstrike w:val="false"/>
          <w:color w:val="1B365D"/>
          <w:sz w:val="18"/>
          <w:u w:val="none"/>
          <w:effect w:val="none"/>
        </w:rPr>
        <w:t>Severance and Change in Control Provisions.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All unvested equity awards that are assumed in connection with a change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control vest only after both the change in control event and the employee’s subsequent termination, or if the original vesting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criteria is met. In the case of awards that are not assumed in connection with the change in control, such unvested equity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awards will vest on the change in control.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additional information regarding severance and change-in-control payments that the Company may be obligated to pay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 named executive officer in the future due to the termination of his employment pursuant to the Company’s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Severance Plan, please see the sections titled “Executive Compensation and Other Matters — Potential Payments Upon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Termination or Change in Control,” “Executive Compensation and Other Matters — Employment Agreements” and “Executive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Compensation and Other Matters — Additional Vesting Provisions” contained elsewhere in this Proxy Statement.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/>
          <w:i/>
          <w:strike w:val="false"/>
          <w:dstrike w:val="false"/>
          <w:color w:val="1B365D"/>
          <w:sz w:val="18"/>
          <w:u w:val="none"/>
          <w:effect w:val="none"/>
        </w:rPr>
        <w:t>Deferral Option.</w:t>
      </w:r>
      <w:r>
        <w:rPr>
          <w:caps w:val="false"/>
          <w:smallCaps w:val="false"/>
          <w:strike w:val="false"/>
          <w:dstrike w:val="false"/>
          <w:color w:val="1B365D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Senior executives may elect to defer settlement of shares until a date set by the executive prior to the LTIP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award grant. Equity awards will continue to vest pursuant to the terms of the award agreements but the Company will defer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issuing shares until the date set by the executive. Vested but unissued shares will count toward the executive’s stock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ownership requirements.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May 2023 Performance Stock Unit Award Payout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May 2023 performance stock unit grant resulted in a payout of 70% for the three-year performance period FY 2024-2026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as set out below:</w:t>
      </w:r>
    </w:p>
    <w:tbl>
      <w:tblPr>
        <w:tblW w:w="99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21"/>
        <w:gridCol w:w="1166"/>
        <w:gridCol w:w="109"/>
        <w:gridCol w:w="2228"/>
        <w:gridCol w:w="1498"/>
        <w:gridCol w:w="2120"/>
        <w:gridCol w:w="1201"/>
      </w:tblGrid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Weighting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Threshold</w:t>
            </w:r>
          </w:p>
        </w:tc>
        <w:tc>
          <w:tcPr>
            <w:tcW w:w="149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Target</w:t>
            </w:r>
          </w:p>
        </w:tc>
        <w:tc>
          <w:tcPr>
            <w:tcW w:w="212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Maximum</w:t>
            </w:r>
          </w:p>
        </w:tc>
        <w:tc>
          <w:tcPr>
            <w:tcW w:w="120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 xml:space="preserve">Performance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Multiplier</w:t>
            </w:r>
          </w:p>
        </w:tc>
      </w:tr>
      <w:tr>
        <w:trPr/>
        <w:tc>
          <w:tcPr>
            <w:tcW w:w="162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restart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70%</w:t>
            </w:r>
          </w:p>
        </w:tc>
      </w:tr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3-Year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Cumulative Sales</w:t>
            </w:r>
          </w:p>
        </w:tc>
        <w:tc>
          <w:tcPr>
            <w:tcW w:w="116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85800" cy="685800"/>
                  <wp:effectExtent l="0" t="0" r="0" b="0"/>
                  <wp:docPr id="339" name="Image3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Image3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1" w:name="i-339"/>
            <w:bookmarkEnd w:id="361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0" cy="628650"/>
                  <wp:effectExtent l="0" t="0" r="0" b="0"/>
                  <wp:docPr id="340" name="Image3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3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2" w:name="i-340"/>
            <w:bookmarkEnd w:id="362"/>
          </w:p>
        </w:tc>
        <w:tc>
          <w:tcPr>
            <w:tcW w:w="1201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1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1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3-Year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Cumulative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EBITDA</w:t>
            </w:r>
          </w:p>
        </w:tc>
        <w:tc>
          <w:tcPr>
            <w:tcW w:w="116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85800" cy="685800"/>
                  <wp:effectExtent l="0" t="0" r="0" b="0"/>
                  <wp:docPr id="341" name="Image3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" name="Image3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3" w:name="i-341"/>
            <w:bookmarkEnd w:id="363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0" cy="628650"/>
                  <wp:effectExtent l="0" t="0" r="0" b="0"/>
                  <wp:docPr id="342" name="Image3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3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4" w:name="i-342"/>
            <w:bookmarkEnd w:id="364"/>
          </w:p>
        </w:tc>
        <w:tc>
          <w:tcPr>
            <w:tcW w:w="1201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continue"/>
            <w:tcBorders>
              <w:top w:val="single" w:sz="4" w:space="0" w:color="A6192E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Performance Multiplier resulted in the distribution of 39,904 shares to Mr. Lombardi, 4,927 shares to Ms. Sacco, 2,464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shares to Mr. Mekhail, 2,562 shares to Mr. P’Pool and 1,725 shares to Mr. Zerillo from their May 2023 performance stock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unit grants.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Although the Company incurred numerous unanticipated financial impacts and other volatility resulting from the macroeconomic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environment especially significant supply chain issues, no adjustments were factored into the performance stock unit grant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payout for fiscal year 2026 results. Please refer to Appendix A for a reconciliation of Non-GAAP Adjusted EBITDA to GAAP Net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used to determine our May 2023 Performance Grant Payout.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Compensation Policies and Governance Practices</w:t>
      </w:r>
      <w:bookmarkStart w:id="365" w:name="i4ee130ca464b4a0bb7124aa7646a5d03_27483"/>
      <w:bookmarkEnd w:id="365"/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Stock Ownership Guidelines</w:t>
      </w:r>
      <w:bookmarkStart w:id="366" w:name="i4ee130ca464b4a0bb7124aa7646a5d03_27473"/>
      <w:bookmarkEnd w:id="366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Board of Directors adopted Stock Ownership Guidelines for the directors and executive officers of the Company to align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their interests with the Company’s stockholders. Each person subject to the Stock Ownership Guidelines is expected to be fully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compliant with the guidelines by the date of the first annual meeting of Stockholders following the fifth anniversary of the date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of employment as an executive officer of the Company or, for directors, the date of election to the Board.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Stock Ownership Guidelines are summarized as follows: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810"/>
        <w:gridCol w:w="137"/>
        <w:gridCol w:w="137"/>
        <w:gridCol w:w="147"/>
        <w:gridCol w:w="147"/>
        <w:gridCol w:w="4064"/>
        <w:gridCol w:w="1292"/>
        <w:gridCol w:w="1347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34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Office</w:t>
            </w:r>
          </w:p>
        </w:tc>
        <w:tc>
          <w:tcPr>
            <w:tcW w:w="13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3" w:type="dxa"/>
            <w:gridSpan w:val="3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Value of Stockholdings Required to be Owned</w:t>
            </w:r>
          </w:p>
        </w:tc>
      </w:tr>
      <w:tr>
        <w:trPr/>
        <w:tc>
          <w:tcPr>
            <w:tcW w:w="2934" w:type="dxa"/>
            <w:gridSpan w:val="2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Non-Employee Director</w:t>
            </w:r>
          </w:p>
        </w:tc>
        <w:tc>
          <w:tcPr>
            <w:tcW w:w="13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5x Annual Retainer</w:t>
            </w:r>
          </w:p>
        </w:tc>
        <w:tc>
          <w:tcPr>
            <w:tcW w:w="2639" w:type="dxa"/>
            <w:gridSpan w:val="2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175260"/>
                  <wp:effectExtent l="0" t="0" r="0" b="0"/>
                  <wp:docPr id="343" name="Image3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" name="Image3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7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7" w:name="i-343"/>
            <w:bookmarkEnd w:id="367"/>
          </w:p>
        </w:tc>
      </w:tr>
      <w:tr>
        <w:trPr/>
        <w:tc>
          <w:tcPr>
            <w:tcW w:w="2934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Chief Executive Officer</w:t>
            </w:r>
          </w:p>
        </w:tc>
        <w:tc>
          <w:tcPr>
            <w:tcW w:w="1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5x Annual Salary</w:t>
            </w:r>
          </w:p>
        </w:tc>
        <w:tc>
          <w:tcPr>
            <w:tcW w:w="2639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137795"/>
                  <wp:effectExtent l="0" t="0" r="0" b="0"/>
                  <wp:docPr id="344" name="Image3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3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8" w:name="i-344"/>
            <w:bookmarkEnd w:id="368"/>
          </w:p>
        </w:tc>
      </w:tr>
      <w:tr>
        <w:trPr/>
        <w:tc>
          <w:tcPr>
            <w:tcW w:w="293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Chief Financial Officer</w:t>
            </w:r>
          </w:p>
        </w:tc>
        <w:tc>
          <w:tcPr>
            <w:tcW w:w="1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3x Annual Salary</w:t>
            </w:r>
          </w:p>
        </w:tc>
        <w:tc>
          <w:tcPr>
            <w:tcW w:w="263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175260"/>
                  <wp:effectExtent l="0" t="0" r="0" b="0"/>
                  <wp:docPr id="345" name="Image3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" name="Image3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7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9" w:name="i-345"/>
            <w:bookmarkEnd w:id="369"/>
          </w:p>
        </w:tc>
      </w:tr>
      <w:tr>
        <w:trPr/>
        <w:tc>
          <w:tcPr>
            <w:tcW w:w="2934" w:type="dxa"/>
            <w:gridSpan w:val="2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Other NEOs</w:t>
            </w:r>
          </w:p>
        </w:tc>
        <w:tc>
          <w:tcPr>
            <w:tcW w:w="137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2x Annual Salary</w:t>
            </w:r>
          </w:p>
        </w:tc>
        <w:tc>
          <w:tcPr>
            <w:tcW w:w="2639" w:type="dxa"/>
            <w:gridSpan w:val="2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Varies</w:t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0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top w:val="single" w:sz="4" w:space="0" w:color="1B365D"/>
              <w:bottom w:val="single" w:sz="4" w:space="0" w:color="1B365D"/>
              <w:right w:val="single" w:sz="4" w:space="0" w:color="1B365D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top w:val="single" w:sz="4" w:space="0" w:color="1B365D"/>
              <w:left w:val="single" w:sz="4" w:space="0" w:color="1B365D"/>
              <w:bottom w:val="single" w:sz="4" w:space="0" w:color="1B365D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2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0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2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4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What counts toward stock ownership requirement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shares of the Company purchased on the open market or in privately negotiated transactions;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shares of the Company acquired by inheritance or gift or held by immediate family members or in trust for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benefit of the employee or family member;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after-tax shares of the Company acquired through vested restricted stock units and performance stock units;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60% of vested options to the extent in-the-money — reflecting the approximate after-tax value of those shares; 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60% of unvested restricted stock units and performance stock units that cliff vest, prorated to the extent full years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completed service or periods of performance, as applicable, at current projected performance multiple — reflecting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approximate after-tax value of those shares; and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100% of vested but deferred/unissued shares.</w:t>
            </w:r>
          </w:p>
        </w:tc>
        <w:tc>
          <w:tcPr>
            <w:tcW w:w="1347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0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2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0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2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Compliance Status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All directors and executives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are in compliance with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guidelines or are within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five-year transition period.</w:t>
            </w:r>
          </w:p>
        </w:tc>
        <w:tc>
          <w:tcPr>
            <w:tcW w:w="137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0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What does not count toward stock ownership requirement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unvested restricted stock and restricted stock units, except as provided above;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unvested stock options; and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vested but not “in-the-money” stock options.</w:t>
            </w:r>
          </w:p>
        </w:tc>
        <w:tc>
          <w:tcPr>
            <w:tcW w:w="1347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0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2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a director or executive is below the ownership requirement, until the specified level is met, the director or officer will be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required to retain 50 percent of the net, after-tax value of any equity received from the Company’s equity plan until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individual meets the guideline. The CEO currently exceeds his guideline by more than three times the holding requirement.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57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Equity Grant Timing</w:t>
      </w:r>
      <w:bookmarkStart w:id="370" w:name="i4ee130ca464b4a0bb7124aa7646a5d03_27485"/>
      <w:bookmarkEnd w:id="370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Other than in exceptional cases, such as promotions or new hires, long-term incentive awards are generally granted in the first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quarter of the fiscal 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(April through June), at the time when salary levels and short-term incentive programs for the new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are determined.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CEO recommends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the Compensation and Talent Management Committee the amount to be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awarded to each NEO (other than our CEO). The Compensation and Talent Management Committee considers the equity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awards for executive officers based in part upon benchmarked data from our peer group provided by CAP, as well as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factors, such as the officers’ individual performance and current dilution rates. In determining the awards to our CEO,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Compensation and Talent Management Committee, without input from our CEO or other members of management, considers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performance of our Company, returns to stockholders, effectiveness of our CEO’s leadership, as well as benchmarked data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input from CAP. All NEO awards consist of performance stock units (PSUs) and restricted stock units and are valued at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market closing price on the day of grant. No stock options are awarded to our NEOs. The Compensation and Talent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Committee does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take material nonpublic information into account when determining the timing and terms of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equity awards. The Company does not time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disclosure of material nonpublic information for the purpose of affecting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of executive compensation.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Clawback Policy</w:t>
      </w:r>
      <w:bookmarkStart w:id="371" w:name="i4ee130ca464b4a0bb7124aa7646a5d03_27489"/>
      <w:bookmarkEnd w:id="371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Pursuant to the Company’s Clawback Policy, in the event that the Company is required to restate its financial statements due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material non-compliance with any financial reporting requirement under the U.S. federal securities laws, the Company will,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subject to the terms of the Clawback Policy, recover from executive officers any incentive-based compensation that was paid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or received by, or is to be paid to, executive officers for the three years immediately preceding the period for which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Company is required to restate its financial statements, insofar as such incentive compensation is a result of errors within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financial statements that are required to be restated. The amount of the incentive-based compensation that the Company will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seek to recover is the difference between the amount of the incentive-based compensation received by executive officers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based on the erroneous financial statements and the amount of incentive-based compensation that would have been paid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executive officers based on the financial statements as restated. Notwithstanding the foregoing, the Company is not obligated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pursue any recovery if the Board of Directors or applicable committee determines that the expected cost of recovery will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exceed the amount to be recovered.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Policy Against Hedging and Pledging of Company Stock</w:t>
      </w:r>
      <w:bookmarkStart w:id="372" w:name="i4ee130ca464b4a0bb7124aa7646a5d03_27486"/>
      <w:bookmarkEnd w:id="372"/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Company’s Insider Trading Policy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prohibits hedging and limits any pledging by the Company’s directors, executive officers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employees.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Compensation and Talent Committee Report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 xml:space="preserve">This Compensation and Talent Management Committee report shall not be deemed incorporated by reference by any general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 xml:space="preserve">statement incorporating by reference this Proxy Statement into any filing under the Securities Act of 1933, as amended (the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/>
        <w:t>“</w:t>
      </w:r>
      <w:r>
        <w:rPr>
          <w:rFonts w:ascii="Arial;sans-serif" w:hAnsi="Arial;sans-serif"/>
          <w:b w:val="false"/>
          <w:i/>
          <w:sz w:val="18"/>
        </w:rPr>
        <w:t xml:space="preserve">Securities Act”), or the Exchange Act, except to the extent that we specifically incorporate this information by reference,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/>
          <w:sz w:val="18"/>
        </w:rPr>
        <w:t>and shall not otherwise be deemed filed under the Securities Act and the Exchange Act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has reviewed and discussed the Compensation Discussion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Analysis with management. Based on its review and discussions of the Compensation Discussion and Analysis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management, the Compensation and Talent Management Committee recommended to the Board of Directors that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Discussion and Analysis be included in this Proxy Statement and incorporated by reference into our Annual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Report on Form 10-K for 2026.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MEMBERS OF THE 2026 COMPENSATION AND TALENT MANAGEMENT COMMITTEE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  <w:t xml:space="preserve">Dawn M. Zier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(Chair)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  <w:t>John E. Byom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  <w:t>Celeste A. Clark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  <w:t>John F. Kelly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Executive Compensation Tables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Summary Compensation Table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table includes information regarding the compensation paid or awarded to the named executive officers listed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below during our fiscal years ended March 31, 2026, 2025 and 2024. We have no applicable qualified pension or deferred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compensation plans and, therefore, have omitted the column regarding compensation under such plans.</w:t>
      </w:r>
    </w:p>
    <w:tbl>
      <w:tblPr>
        <w:tblW w:w="933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71"/>
        <w:gridCol w:w="571"/>
        <w:gridCol w:w="931"/>
        <w:gridCol w:w="631"/>
        <w:gridCol w:w="931"/>
        <w:gridCol w:w="256"/>
        <w:gridCol w:w="1396"/>
        <w:gridCol w:w="972"/>
        <w:gridCol w:w="304"/>
        <w:gridCol w:w="976"/>
      </w:tblGrid>
      <w:tr>
        <w:trPr/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Fiscal</w:t>
            </w:r>
          </w:p>
        </w:tc>
        <w:tc>
          <w:tcPr>
            <w:tcW w:w="93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63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187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Awards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</w:t>
            </w:r>
          </w:p>
        </w:tc>
        <w:tc>
          <w:tcPr>
            <w:tcW w:w="139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Non-Equity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Incentive Plan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Compensation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(2)</w:t>
            </w:r>
          </w:p>
        </w:tc>
        <w:tc>
          <w:tcPr>
            <w:tcW w:w="1276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97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2371" w:type="dxa"/>
            <w:vMerge w:val="restart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Ronald M. Lombardi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Chair, President, and Chief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Executive Officer</w:t>
            </w:r>
          </w:p>
        </w:tc>
        <w:tc>
          <w:tcPr>
            <w:tcW w:w="57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93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1,003,564</w:t>
            </w:r>
          </w:p>
        </w:tc>
        <w:tc>
          <w:tcPr>
            <w:tcW w:w="63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4,099,959</w:t>
            </w:r>
          </w:p>
        </w:tc>
        <w:tc>
          <w:tcPr>
            <w:tcW w:w="25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850,000</w:t>
            </w:r>
          </w:p>
        </w:tc>
        <w:tc>
          <w:tcPr>
            <w:tcW w:w="972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51,024</w:t>
            </w:r>
          </w:p>
        </w:tc>
        <w:tc>
          <w:tcPr>
            <w:tcW w:w="30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(3)</w:t>
            </w:r>
          </w:p>
        </w:tc>
        <w:tc>
          <w:tcPr>
            <w:tcW w:w="97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6,004,547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1,003,564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4,000,008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1,134,000</w:t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55,447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(3)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6,193,019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2024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1,002,632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3,700,034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1,012,000</w:t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48,467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(3)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5,763,133</w:t>
            </w:r>
          </w:p>
        </w:tc>
      </w:tr>
      <w:tr>
        <w:trPr/>
        <w:tc>
          <w:tcPr>
            <w:tcW w:w="2371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Christine Sacco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Chief Financial Officer and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Chief Operating Officer</w:t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716,242</w:t>
            </w:r>
          </w:p>
        </w:tc>
        <w:tc>
          <w:tcPr>
            <w:tcW w:w="6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1,608,733</w:t>
            </w:r>
          </w:p>
        </w:tc>
        <w:tc>
          <w:tcPr>
            <w:tcW w:w="25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364,650</w:t>
            </w:r>
          </w:p>
        </w:tc>
        <w:tc>
          <w:tcPr>
            <w:tcW w:w="97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24,203</w:t>
            </w:r>
          </w:p>
        </w:tc>
        <w:tc>
          <w:tcPr>
            <w:tcW w:w="30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(4)</w:t>
            </w:r>
          </w:p>
        </w:tc>
        <w:tc>
          <w:tcPr>
            <w:tcW w:w="9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2,713,828</w:t>
            </w:r>
          </w:p>
        </w:tc>
      </w:tr>
      <w:tr>
        <w:trPr/>
        <w:tc>
          <w:tcPr>
            <w:tcW w:w="2371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658,904</w:t>
            </w:r>
          </w:p>
        </w:tc>
        <w:tc>
          <w:tcPr>
            <w:tcW w:w="6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2,635,065</w:t>
            </w:r>
          </w:p>
        </w:tc>
        <w:tc>
          <w:tcPr>
            <w:tcW w:w="25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(6)</w:t>
            </w:r>
          </w:p>
        </w:tc>
        <w:tc>
          <w:tcPr>
            <w:tcW w:w="13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595,298</w:t>
            </w:r>
          </w:p>
        </w:tc>
        <w:tc>
          <w:tcPr>
            <w:tcW w:w="97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16,334</w:t>
            </w:r>
          </w:p>
        </w:tc>
        <w:tc>
          <w:tcPr>
            <w:tcW w:w="30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3,905,601</w:t>
            </w:r>
          </w:p>
        </w:tc>
      </w:tr>
      <w:tr>
        <w:trPr/>
        <w:tc>
          <w:tcPr>
            <w:tcW w:w="2371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2024</w:t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625,809</w:t>
            </w:r>
          </w:p>
        </w:tc>
        <w:tc>
          <w:tcPr>
            <w:tcW w:w="6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1,029,965</w:t>
            </w:r>
          </w:p>
        </w:tc>
        <w:tc>
          <w:tcPr>
            <w:tcW w:w="25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330,000</w:t>
            </w:r>
          </w:p>
        </w:tc>
        <w:tc>
          <w:tcPr>
            <w:tcW w:w="97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15,075</w:t>
            </w:r>
          </w:p>
        </w:tc>
        <w:tc>
          <w:tcPr>
            <w:tcW w:w="30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2,000,849</w:t>
            </w:r>
          </w:p>
        </w:tc>
      </w:tr>
      <w:tr>
        <w:trPr/>
        <w:tc>
          <w:tcPr>
            <w:tcW w:w="237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Adel Mekhail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Executive Vice President,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Sales and Marketing</w:t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548,549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543,934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221,952</w:t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15,908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1,330,343</w:t>
            </w:r>
          </w:p>
        </w:tc>
      </w:tr>
      <w:tr>
        <w:trPr/>
        <w:tc>
          <w:tcPr>
            <w:tcW w:w="237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533,499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528,047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312,365</w:t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15,693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1,389,604</w:t>
            </w:r>
          </w:p>
        </w:tc>
      </w:tr>
      <w:tr>
        <w:trPr/>
        <w:tc>
          <w:tcPr>
            <w:tcW w:w="237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2024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516,583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515,013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271,920</w:t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15,018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1,318,534</w:t>
            </w:r>
          </w:p>
        </w:tc>
      </w:tr>
      <w:tr>
        <w:trPr/>
        <w:tc>
          <w:tcPr>
            <w:tcW w:w="2371" w:type="dxa"/>
            <w:vMerge w:val="restart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William C. P’Pool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Senior Vice President,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General Counsel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Corporate Secretary</w:t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565,565</w:t>
            </w:r>
          </w:p>
        </w:tc>
        <w:tc>
          <w:tcPr>
            <w:tcW w:w="6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562,024</w:t>
            </w:r>
          </w:p>
        </w:tc>
        <w:tc>
          <w:tcPr>
            <w:tcW w:w="25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191,080</w:t>
            </w:r>
          </w:p>
        </w:tc>
        <w:tc>
          <w:tcPr>
            <w:tcW w:w="97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13,923</w:t>
            </w:r>
          </w:p>
        </w:tc>
        <w:tc>
          <w:tcPr>
            <w:tcW w:w="30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1,332,592</w:t>
            </w:r>
          </w:p>
        </w:tc>
      </w:tr>
      <w:tr>
        <w:trPr/>
        <w:tc>
          <w:tcPr>
            <w:tcW w:w="2371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548,638</w:t>
            </w:r>
          </w:p>
        </w:tc>
        <w:tc>
          <w:tcPr>
            <w:tcW w:w="6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546,021</w:t>
            </w:r>
          </w:p>
        </w:tc>
        <w:tc>
          <w:tcPr>
            <w:tcW w:w="25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296,096</w:t>
            </w:r>
          </w:p>
        </w:tc>
        <w:tc>
          <w:tcPr>
            <w:tcW w:w="97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15,705</w:t>
            </w:r>
          </w:p>
        </w:tc>
        <w:tc>
          <w:tcPr>
            <w:tcW w:w="30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1,406,460</w:t>
            </w:r>
          </w:p>
        </w:tc>
      </w:tr>
      <w:tr>
        <w:trPr/>
        <w:tc>
          <w:tcPr>
            <w:tcW w:w="2371" w:type="dxa"/>
            <w:vMerge w:val="continue"/>
            <w:tcBorders/>
            <w:shd w:fill="EDEFF2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2024</w:t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532,321</w:t>
            </w:r>
          </w:p>
        </w:tc>
        <w:tc>
          <w:tcPr>
            <w:tcW w:w="6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540,014</w:t>
            </w:r>
          </w:p>
        </w:tc>
        <w:tc>
          <w:tcPr>
            <w:tcW w:w="25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256,520</w:t>
            </w:r>
          </w:p>
        </w:tc>
        <w:tc>
          <w:tcPr>
            <w:tcW w:w="97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15,030</w:t>
            </w:r>
          </w:p>
        </w:tc>
        <w:tc>
          <w:tcPr>
            <w:tcW w:w="30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1,343,885</w:t>
            </w:r>
          </w:p>
        </w:tc>
      </w:tr>
      <w:tr>
        <w:trPr/>
        <w:tc>
          <w:tcPr>
            <w:tcW w:w="2371" w:type="dxa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Jeffrey Zerillo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Senior Vice President,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Operations</w:t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384,227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381,044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111,404</w:t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15,908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892,583</w:t>
            </w:r>
          </w:p>
        </w:tc>
      </w:tr>
      <w:tr>
        <w:trPr/>
        <w:tc>
          <w:tcPr>
            <w:tcW w:w="2371" w:type="dxa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372,607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369,982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145,928</w:t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12,735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901,252</w:t>
            </w:r>
          </w:p>
        </w:tc>
      </w:tr>
      <w:tr>
        <w:trPr/>
        <w:tc>
          <w:tcPr>
            <w:tcW w:w="2371" w:type="dxa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2024</w:t>
            </w:r>
          </w:p>
        </w:tc>
        <w:tc>
          <w:tcPr>
            <w:tcW w:w="93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362,448</w:t>
            </w:r>
          </w:p>
        </w:tc>
        <w:tc>
          <w:tcPr>
            <w:tcW w:w="63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360,009</w:t>
            </w:r>
          </w:p>
        </w:tc>
        <w:tc>
          <w:tcPr>
            <w:tcW w:w="25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126,720</w:t>
            </w:r>
          </w:p>
        </w:tc>
        <w:tc>
          <w:tcPr>
            <w:tcW w:w="97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13,750</w:t>
            </w:r>
          </w:p>
        </w:tc>
        <w:tc>
          <w:tcPr>
            <w:tcW w:w="30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97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862,927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the grant date fair value of restricted stock unit awards and performance stock unit awards, determined in accordance with FASB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ASC Topic 718. The fair value of the restricted stock unit awards and performance stock unit awards is based on the market value of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Company’s common stock on the grant date. The grant date value of the performance stock unit awards was computed by multiplying (i)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target number of performance stock units awarded to each named executive officer, which was the assumed probable outcome as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grant date, by (ii) the grant date fair value used for financial reporting purposes. Assuming, instead, that the highest level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performance would be achieved, the grant date fair values of the performance stock units would have been as follows: Mr. Lombardi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$5,550,021 (2024), $6,000,012 (2025) and $6,149,980 (2026); Ms. Sacco $1,235,958 (2024), $1,272,069 (2025) and $1,930,447 (2026);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Mr. Mekhail $618,041 (2024), $633,656 (2025) and $652,721 (2026); Mr. P’Pool $648,042 (2024), $655,198 (2025) and $674,461 (2026);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and Mr. Zerillo $431,987 (2024), $443,979 (2025) and $457,220 (2026).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annual cash incentive awards, which are accrued and reflected in the Summary Compensation table for the fiscal year in which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earned but are paid promptly after the completion of the audit of the Company’s financial statements for such fiscal year.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a matching contribution by the Company on Mr. Lombardi’s behalf to the Company’s 401(k) plan $15,750 (2026) and expenses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related to the use of corporate housing leased by the Company in the amount of $ 35,274 (2026). The aggregate incremental cost to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Company of providing the corporate housing is based on the actual cost of the lease and utilities for the fiscal year.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a matching contribution by the Company on the named executive officer’s behalf to the Company’s 401(k) plan and the cost of an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executive physical.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Reflects a matching contribution by the Company on the named executive officer’s behalf to the Company’s 401(k) plan.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For 2025, in addition to Ms. Sacco’s annual target long-term incentive award, reflects a one-time retention award of restricted stock units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which cliff vest after four years granted upon Ms. Sacco’s promotion to Chief Operating Officer, in addition to her role as Chief Financial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Officer in the amount of $1,575,055.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59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Grants of Plan-Based Awards in 2026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Grants of Plan-Based Awards table provides additional information regarding non-equity and equity incentive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plan awards granted to the named executive officers during 2026. The non-equity incentive plan awards were granted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pursuant to the 2026 AIP and the equity incentive plan awards were granted pursuant to 2020 LTIP. The equity incentive plan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awards were comprised of performance stock units and restricted stock units.</w:t>
      </w:r>
    </w:p>
    <w:tbl>
      <w:tblPr>
        <w:tblW w:w="981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6"/>
        <w:gridCol w:w="826"/>
        <w:gridCol w:w="964"/>
        <w:gridCol w:w="980"/>
        <w:gridCol w:w="980"/>
        <w:gridCol w:w="109"/>
        <w:gridCol w:w="998"/>
        <w:gridCol w:w="737"/>
        <w:gridCol w:w="949"/>
        <w:gridCol w:w="879"/>
        <w:gridCol w:w="141"/>
        <w:gridCol w:w="1006"/>
      </w:tblGrid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4" w:type="dxa"/>
            <w:gridSpan w:val="3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Estimated Future Payouts Under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Non-Equity Incentive Plan Awards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4" w:type="dxa"/>
            <w:gridSpan w:val="3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Estimated Future Payouts Under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Equity Incentive Plan Awards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20" w:type="dxa"/>
            <w:gridSpan w:val="2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Awards: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Shares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Stock Units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(3)</w:t>
            </w:r>
          </w:p>
        </w:tc>
        <w:tc>
          <w:tcPr>
            <w:tcW w:w="1006" w:type="dxa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Grant Date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Fair Value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of 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</w:t>
            </w:r>
          </w:p>
        </w:tc>
        <w:tc>
          <w:tcPr>
            <w:tcW w:w="8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Threshold</w:t>
            </w:r>
          </w:p>
        </w:tc>
        <w:tc>
          <w:tcPr>
            <w:tcW w:w="980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Target</w:t>
            </w:r>
          </w:p>
        </w:tc>
        <w:tc>
          <w:tcPr>
            <w:tcW w:w="980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Maximum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Threshold</w:t>
            </w:r>
          </w:p>
        </w:tc>
        <w:tc>
          <w:tcPr>
            <w:tcW w:w="737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</w:p>
        </w:tc>
        <w:tc>
          <w:tcPr>
            <w:tcW w:w="949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</w:p>
        </w:tc>
        <w:tc>
          <w:tcPr>
            <w:tcW w:w="1020" w:type="dxa"/>
            <w:gridSpan w:val="2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Mr. Lombardi</w:t>
            </w:r>
          </w:p>
        </w:tc>
        <w:tc>
          <w:tcPr>
            <w:tcW w:w="82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625,000</w:t>
            </w:r>
          </w:p>
        </w:tc>
        <w:tc>
          <w:tcPr>
            <w:tcW w:w="98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1,250,000</w:t>
            </w:r>
          </w:p>
        </w:tc>
        <w:tc>
          <w:tcPr>
            <w:tcW w:w="98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2,500,000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12,352</w:t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1,024,969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18,529</w:t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37,057</w:t>
            </w:r>
          </w:p>
        </w:tc>
        <w:tc>
          <w:tcPr>
            <w:tcW w:w="94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74,114</w:t>
            </w:r>
          </w:p>
        </w:tc>
        <w:tc>
          <w:tcPr>
            <w:tcW w:w="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3,074,990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Ms. Sacco </w:t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268,125</w:t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536,250</w:t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1,072,500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7,755</w:t>
            </w:r>
          </w:p>
        </w:tc>
        <w:tc>
          <w:tcPr>
            <w:tcW w:w="1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643,510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5,816</w:t>
            </w:r>
          </w:p>
        </w:tc>
        <w:tc>
          <w:tcPr>
            <w:tcW w:w="7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11,632</w:t>
            </w:r>
          </w:p>
        </w:tc>
        <w:tc>
          <w:tcPr>
            <w:tcW w:w="94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23,264</w:t>
            </w:r>
          </w:p>
        </w:tc>
        <w:tc>
          <w:tcPr>
            <w:tcW w:w="8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965,223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Mekhail 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163,200</w:t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326,400</w:t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652,800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2,622</w:t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217,574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1,967</w:t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3,933</w:t>
            </w:r>
          </w:p>
        </w:tc>
        <w:tc>
          <w:tcPr>
            <w:tcW w:w="94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7,866</w:t>
            </w:r>
          </w:p>
        </w:tc>
        <w:tc>
          <w:tcPr>
            <w:tcW w:w="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326,360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P’Pool </w:t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140,500</w:t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281,000</w:t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562,000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2,709</w:t>
            </w:r>
          </w:p>
        </w:tc>
        <w:tc>
          <w:tcPr>
            <w:tcW w:w="1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224,793</w:t>
            </w:r>
          </w:p>
        </w:tc>
      </w:tr>
      <w:tr>
        <w:trPr/>
        <w:tc>
          <w:tcPr>
            <w:tcW w:w="12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2,032</w:t>
            </w:r>
          </w:p>
        </w:tc>
        <w:tc>
          <w:tcPr>
            <w:tcW w:w="73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4,064</w:t>
            </w:r>
          </w:p>
        </w:tc>
        <w:tc>
          <w:tcPr>
            <w:tcW w:w="94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8,128</w:t>
            </w:r>
          </w:p>
        </w:tc>
        <w:tc>
          <w:tcPr>
            <w:tcW w:w="87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337,231</w:t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Zerillo 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76,200</w:t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152,400</w:t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304,800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1,837</w:t>
            </w:r>
          </w:p>
        </w:tc>
        <w:tc>
          <w:tcPr>
            <w:tcW w:w="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152,434</w:t>
            </w:r>
          </w:p>
        </w:tc>
      </w:tr>
      <w:tr>
        <w:trPr/>
        <w:tc>
          <w:tcPr>
            <w:tcW w:w="124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5/5/2025</w:t>
            </w:r>
          </w:p>
        </w:tc>
        <w:tc>
          <w:tcPr>
            <w:tcW w:w="964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1,378</w:t>
            </w:r>
          </w:p>
        </w:tc>
        <w:tc>
          <w:tcPr>
            <w:tcW w:w="73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2,755</w:t>
            </w:r>
          </w:p>
        </w:tc>
        <w:tc>
          <w:tcPr>
            <w:tcW w:w="94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5,510</w:t>
            </w:r>
          </w:p>
        </w:tc>
        <w:tc>
          <w:tcPr>
            <w:tcW w:w="87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228,610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threshold, target, and maximum opportunities for annual incentive plan awards, as described in further detail in the </w:t>
      </w:r>
    </w:p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Compensation Discussion and Analysis.”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performance stock units, which may be earned based on the achievement of 3-year cumulative adjusted sales and EBITDA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targets, as described in further detail in the “Compensation Discussion and Analysis.”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restricted stock units, which vest in three equal annual installments commencing on the first anniversary of the date of grant for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the restricted stock units.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the grant date fair value of the performance stock units and restricted stock units, determined in accordance with FASB ASC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Topic 718.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 xml:space="preserve">Outstanding Equity Awards at 2026 Fiscal Year-End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table summarizes the equity awards granted to the named executive officers that were outstanding as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March 31, 2026.</w:t>
      </w:r>
    </w:p>
    <w:tbl>
      <w:tblPr>
        <w:tblW w:w="982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91"/>
        <w:gridCol w:w="823"/>
        <w:gridCol w:w="258"/>
        <w:gridCol w:w="608"/>
        <w:gridCol w:w="608"/>
        <w:gridCol w:w="766"/>
        <w:gridCol w:w="916"/>
        <w:gridCol w:w="109"/>
        <w:gridCol w:w="676"/>
        <w:gridCol w:w="316"/>
        <w:gridCol w:w="1096"/>
        <w:gridCol w:w="787"/>
        <w:gridCol w:w="368"/>
        <w:gridCol w:w="1201"/>
      </w:tblGrid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9" w:type="dxa"/>
            <w:gridSpan w:val="6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Option Awards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4" w:type="dxa"/>
            <w:gridSpan w:val="6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2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081" w:type="dxa"/>
            <w:gridSpan w:val="2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Underlying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Unexercised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Options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Exercisable</w:t>
            </w:r>
          </w:p>
        </w:tc>
        <w:tc>
          <w:tcPr>
            <w:tcW w:w="1216" w:type="dxa"/>
            <w:gridSpan w:val="2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Underlying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Unexercised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Options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Unexercisable</w:t>
            </w:r>
          </w:p>
        </w:tc>
        <w:tc>
          <w:tcPr>
            <w:tcW w:w="76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Option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Exercise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Price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($)</w:t>
            </w:r>
          </w:p>
        </w:tc>
        <w:tc>
          <w:tcPr>
            <w:tcW w:w="91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Option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Expiration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Date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Shares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Units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Stock That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Have 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</w:p>
        </w:tc>
        <w:tc>
          <w:tcPr>
            <w:tcW w:w="109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Market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Value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Shares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Units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That Have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Not Vested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($)</w:t>
            </w:r>
          </w:p>
        </w:tc>
        <w:tc>
          <w:tcPr>
            <w:tcW w:w="1155" w:type="dxa"/>
            <w:gridSpan w:val="2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Plan Awards: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Unearned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Shares, Units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or 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Rights That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Have 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</w:p>
        </w:tc>
        <w:tc>
          <w:tcPr>
            <w:tcW w:w="1201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Plan Awards: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Market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Payout Value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of Unearned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Shares, Units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or 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Rights That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Have 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Vested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129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Lombardi </w:t>
            </w:r>
          </w:p>
        </w:tc>
        <w:tc>
          <w:tcPr>
            <w:tcW w:w="82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12,352</w:t>
            </w:r>
          </w:p>
        </w:tc>
        <w:tc>
          <w:tcPr>
            <w:tcW w:w="31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(11)</w:t>
            </w:r>
          </w:p>
        </w:tc>
        <w:tc>
          <w:tcPr>
            <w:tcW w:w="10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732,103</w:t>
            </w:r>
          </w:p>
        </w:tc>
        <w:tc>
          <w:tcPr>
            <w:tcW w:w="787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37,057</w:t>
            </w:r>
          </w:p>
        </w:tc>
        <w:tc>
          <w:tcPr>
            <w:tcW w:w="36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(14)</w:t>
            </w:r>
          </w:p>
        </w:tc>
        <w:tc>
          <w:tcPr>
            <w:tcW w:w="120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2,196,368</w:t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9,532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(9)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564,962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42,894</w:t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(13)</w:t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2,542,327</w:t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4,995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(8)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296,054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31,468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(12)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1,865,108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Ms. Sacco </w:t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7,755</w:t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(11)</w:t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459,639</w:t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11,632</w:t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(14)</w:t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689,429</w:t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21,136</w:t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(10)</w:t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1,252,731</w:t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4,042</w:t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(9)</w:t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239,569</w:t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9,094</w:t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(13)</w:t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539,001</w:t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17,050</w:t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(7)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(7)</w:t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54.47</w:t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5/2/2032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2,225</w:t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(8)</w:t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131,876</w:t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21,930</w:t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(6)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(6)</w:t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44.33</w:t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5/3/2031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7,008</w:t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(12)</w:t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415,364</w:t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20,604</w:t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39.98</w:t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5/4/2030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Mekhail </w:t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2,622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(11)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155,406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3,933</w:t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(14)</w:t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233,109</w:t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2,014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(9)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119,370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4,530</w:t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(13)</w:t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268,493</w:t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2,842</w:t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(7)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(7)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54.47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5/2/2032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1,113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(8)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65,968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3,505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(12)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207,741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P’Pool </w:t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2,709</w:t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(11)</w:t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160,562</w:t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4,064</w:t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(14)</w:t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240,873</w:t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2,082</w:t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(9)</w:t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123,400</w:t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4,684</w:t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(13)</w:t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277,621</w:t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8,195</w:t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(7)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(7)</w:t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54.47</w:t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5/2/2032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1,167</w:t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(8)</w:t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69,168</w:t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11,496</w:t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(6)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(6)</w:t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44.33</w:t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5/3/2031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3,675</w:t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(12)</w:t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217,817</w:t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6,333</w:t>
            </w:r>
          </w:p>
        </w:tc>
        <w:tc>
          <w:tcPr>
            <w:tcW w:w="25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(2)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(2)</w:t>
            </w:r>
          </w:p>
        </w:tc>
        <w:tc>
          <w:tcPr>
            <w:tcW w:w="76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56.11</w:t>
            </w:r>
          </w:p>
        </w:tc>
        <w:tc>
          <w:tcPr>
            <w:tcW w:w="9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5/8/2027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Zerillo </w:t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1,837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(11)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108,879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2,755</w:t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(14)</w:t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163,289</w:t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1,411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(9)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83,630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3,174</w:t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(13)</w:t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188,123</w:t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5,516</w:t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(7)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(7)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54.47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5/2/2032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778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(8)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46,112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7,802</w:t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(6)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(6)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44.33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5/3/2031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2,450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(12)</w:t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145,212</w:t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8,399</w:t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39.98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5/4/2030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10,063</w:t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(4)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(4)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30.56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5/6/2029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10,078</w:t>
            </w:r>
          </w:p>
        </w:tc>
        <w:tc>
          <w:tcPr>
            <w:tcW w:w="25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(3)</w:t>
            </w:r>
          </w:p>
        </w:tc>
        <w:tc>
          <w:tcPr>
            <w:tcW w:w="60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60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(3)</w:t>
            </w:r>
          </w:p>
        </w:tc>
        <w:tc>
          <w:tcPr>
            <w:tcW w:w="76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29.46</w:t>
            </w:r>
          </w:p>
        </w:tc>
        <w:tc>
          <w:tcPr>
            <w:tcW w:w="9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5/7/2028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the value of restricted stock units or performance stock units, which was calculated using $59.27 per share, the closing price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the Company’s common stock on the NYSE on March 31, 2026.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stock options granted to the named executive officer on May 8, 2017, which vested in approximately three equal installments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May 8, 2018, 2019 and 2020.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stock options granted to the named executive officer on May 7, 2018, which vested in approximately three equal installments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May 7, 2019, 2020 and 2021.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stock options granted to the named executive officer on May 6, 2019, which vested in approximately three equal installments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May 6, 2020, 2021 and 2022.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61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stock options granted to the named executive officer on May 4, 2020, which vest in approximately three equal installments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May 4, 2021, 2022 and 2023.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stock options granted to the named executive officer on May 3, 2021, which vested in approximately three equal installments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May 3, 2022, 2023 and 2024.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(7)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stock options granted to the named executive officer on May 2, 2022, which vested in approximately three equal installments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May 2, 2023, 2024 and 2025.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(8)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restricted stock units granted to the named executive officer on May 2, 2023, which vested in approximately three equal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installments on May 2, 2024, 2025 and 2026.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(9)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restricted stock units granted to the named executive officer on May 7, 2024, which vest in approximately three equal installments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on May 7, 2025, 2026 and 2027.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(10)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Reflects restricted stock units granted to the named executive officer on January 6, 2025, which vest on January 6, 2029.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restricted stock units granted to the named executive officer on May 5, 2025, which vest in approximately three equal installments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on May 5, 2026, 2027 and 2028.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performance stock units granted to the named executive officer on May 2, 2023, which vested on May 4, 2026 based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achievement of goals related to 3-year cumulative net sales and EBITDA, as described in further detail under “Compensation Discussion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and Analysis”.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performance stock units granted to the named executive officer on May 7, 2024, which are eligible to vest on May 7, 2027 based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on achievement of goals related to adjusted 3-year cumulative net sales and EBITDA, as described in further detail under “Compensation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Discussion and Analysis”. The number of performance stock units reported reflects an assumed level of achievement of fiscal 2024-2026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performance goals based on the Company’s performance as of March 31, 2026.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performance stock units granted to the named executive officer on May 5, 2025, which are eligible to vest on May 5, 2028 based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on achievement of goals related to adjusted 3-year cumulative net sales and EBITDA, as described in further detail under “Compensation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Discussion and Analysis”. The number of performance stock units reported reflects an assumed level of target achievement of fiscal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2025-2027 performance goals based on the Company’s performance as of March 31, 2026.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2026 Option Exercises and Stock Vested</w:t>
      </w:r>
    </w:p>
    <w:tbl>
      <w:tblPr>
        <w:tblW w:w="678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91"/>
        <w:gridCol w:w="1411"/>
        <w:gridCol w:w="1261"/>
        <w:gridCol w:w="109"/>
        <w:gridCol w:w="1411"/>
        <w:gridCol w:w="1306"/>
      </w:tblGrid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2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Option Awards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7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2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411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Shares Acquired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on Exercise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</w:p>
        </w:tc>
        <w:tc>
          <w:tcPr>
            <w:tcW w:w="1261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Value Realized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on Exercise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Shares Acquired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on 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(#)</w:t>
            </w:r>
          </w:p>
        </w:tc>
        <w:tc>
          <w:tcPr>
            <w:tcW w:w="130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Value Realized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on 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129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Lombardi </w:t>
            </w:r>
          </w:p>
        </w:tc>
        <w:tc>
          <w:tcPr>
            <w:tcW w:w="141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55,173</w:t>
            </w:r>
          </w:p>
        </w:tc>
        <w:tc>
          <w:tcPr>
            <w:tcW w:w="130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4,583,482</w:t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Ms. Sacco </w:t>
            </w:r>
          </w:p>
        </w:tc>
        <w:tc>
          <w:tcPr>
            <w:tcW w:w="141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11,212</w:t>
            </w:r>
          </w:p>
        </w:tc>
        <w:tc>
          <w:tcPr>
            <w:tcW w:w="13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932,361</w:t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Mekhail </w:t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5,602</w:t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465,854</w:t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P’Pool </w:t>
            </w:r>
          </w:p>
        </w:tc>
        <w:tc>
          <w:tcPr>
            <w:tcW w:w="141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5,830</w:t>
            </w:r>
          </w:p>
        </w:tc>
        <w:tc>
          <w:tcPr>
            <w:tcW w:w="13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484,834</w:t>
            </w:r>
          </w:p>
        </w:tc>
      </w:tr>
      <w:tr>
        <w:trPr/>
        <w:tc>
          <w:tcPr>
            <w:tcW w:w="12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Zerillo </w:t>
            </w:r>
          </w:p>
        </w:tc>
        <w:tc>
          <w:tcPr>
            <w:tcW w:w="141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3,922</w:t>
            </w:r>
          </w:p>
        </w:tc>
        <w:tc>
          <w:tcPr>
            <w:tcW w:w="130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326,146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the number of shares underlying the exercised options multiplied by the difference between the fair market value of the underlying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shares on the exercise date and the exercise price of the option.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Reflects the quoted market value of the underlying shares on the applicable vesting dates multiplied by the number of shares vested.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Employment Agreements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Compensation and Talent Management Committee approved the Prestige Consumer Healthcare Inc.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Severance Plan (“ESP”), to transition away from individual agreements with our executive officers.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Overview of the Amended and Restated Executive Severance Plan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Pursuant to the terms of the plan, the Compensation and Talent Management Committee will, in its sole discretion, select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eligible employees for participation in the and designate such employees as Tier One or Tier Two participants, subject to timely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execution of a participation letter agreement. Pursuant to the terms of the letter agreement, the participants will agree to be 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bound by the terms and conditions of the executive severance plan and the letter agreement. The Compensation and Talent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Management Committee designated Mr. Lombardi as a Tier One participant and certain other executive officers as Tier Two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participants, including Messrs. Mekhail, P’Pool and Zerillo and Ms. Sacco.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executive severance plan provides for the payment of severance and other benefits to participants in the event of their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termination of employment by the Company without cause or resignation for good reason, each as defined in the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severance plan.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the event of a termination of employment by the Company without cause or resignation for good reason prior to a change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control, the executive severance plan provides the following payments and benefits to the participant: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 prorated annual incentive payment in respect of the participant’s service during the fiscal year in which his or her date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 occurred based on actual performance results for such fiscal year;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severance equal to a multiple (1.5, in the case of a Tier One participant, and 1, in the case of a Tier Two participant),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sum of the participant’s annual base salary plus his or her target annual incentive, payable over a period of twelve months,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accordance with the Company’s regular payroll practices;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payment of COBRA premiums for a period of twelve months.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the event of a termination of employment by the Company without cause or resignation for good reason upon or within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24 months following a change in control, the executive severance plan provides the following payments and benefits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 participant: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 prorated annual incentive payment in respect of the participant’s service during the fiscal year in which his or her date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 occurred based on actual performance results for such fiscal year;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severance equal to a multiple (2.5, in the case of a Tier One participant, and 2, in the case of a Tier Two participant),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sum of the participant’s annual base salary plus his or her target annual incentive, payable in a lump sum upon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termination; 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payment of COBRA premiums for a period of eighteen months;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(iv) outplacement services suitable to participant’s position.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executive severance plan provides that in the event that the payments described above would, if paid, be subject to excise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taxes that may be imposed on excess parachute payments under Section 4999 of the Internal Revenue Code of 1986, 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amended, then the payments will be reduced to the extent necessary so that no portion of the payments is subject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excise tax, provided that net amount of the reduced payments, after giving effect to income tax consequences, is greater than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or equal to the net amount of the payments without such reduction, after giving effect to the excise tax and income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tax consequences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order to be entitled to severance payments and benefits, the participant will be required to comply with the terms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conditions of the executive severance plan and the letter agreement, including, without limitation, a requirement to execute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 release and waiver of all claims in favor of the Company and comply with certain post-employment covenants, including a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confidentiality covenant and a covenant not to compete with the Company or solicit the Company’s employees for eighteen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months, in the case of a Tier One participant, or twelve months, in the case of a Tier Two participant, following termination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 employment.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Compensation and Talent Management Committee may amend or terminate the executive severance plan at any time;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provided that: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no such action may impair the rights of a participant who previously has incurred a Qualifying Termination without his or her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consent;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executive severance plan may not be terminated or amended after a change in control of the Company in any manner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that would adversely affect the benefits available to any participant in the executive severance plan.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63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6"/>
          <w:u w:val="none"/>
          <w:effect w:val="none"/>
        </w:rPr>
        <w:t>Special Vesting Provisions for Equity Awards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2020 LTIP provides that the Compensation and Talent Management Committee may, at its discretion, decide to vest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unvested portion of a grantee’s restricted stock units or stock option award if a grantee’s employment is terminated due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death, disability or retirement. In connection with a change of control event, unvested equity awards are treated as follows: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If (i) a change in control occurs while the employee is employed by us, and (ii) the equity award is not assumed by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surviving entity or otherwise equitably converted or substituted in connection with the change in control, then the equity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award will become fully-vested as of the date of the change in control.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If (i) a change in control occurs while the employee is employed by us, and (ii) the equity award is assumed by the surviving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entity or otherwise equitably converted or substituted in connection with the change in control in a manner approved by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Board, then the equity award will become fully-vested if within twenty- four (24) months following the change in control,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participant’s employment is terminated by the Company other than for cause, disability or death or the participant resigns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 reason (as such terms are defined in the applicable award agreement).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Also, as discussed earlier in this CD&amp;A: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Compensation and Talent Management Committee approved a “Rule of 62” policy, pursuant to which an employee’s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outstanding time-based equity awards will vest, based on actual performance at the end of the 3-year performance period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case of performance stock units, and in each case prorated based upon the employee’s length of employment during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vesting or performance period, as applicable, in the event he or she with at least six months’ notice retires from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with at least five years of service and a total of age and years of service at retirement equal to or greater than 62.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Senior executives may elect to defer settlement of shares until a date set by the executive prior to the LTIP award grant 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until six months after termination of employment with the Company. Equity awards will continue to vest pursuant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terms of the award agreements, but the Company will defer issuing shares until the date set by the executive. Vested but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unissued shares will count toward the executive’s stock ownership requirements.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 xml:space="preserve">Summary of Potential Payments upon Termination or Change 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in Control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As described above, each of our named executive officers is entitled to certain benefits in the event his or her employment is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terminated under specified circumstances. Circumstances which would trigger payments and/or other benefits to our named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executive officers include termination of employment by the Company without cause, termination by the named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officer for good reason or a change in control of the Company.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table sets forth payments and benefits that may be received by our named executive officers in the event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termination for specified reasons and/or a change in control of the Company.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information has been prepared based on the assumption that the named executive officer’s employment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terminated, or a change in control of the Company occurred, on March 31, 2026. With respect to the accelerated vesting of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equity awards, the value of such acceleration was calculated using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$59.27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, the closing price of our common stock 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March 31, 2026, the last trading day of fiscal 2026.</w:t>
      </w:r>
    </w:p>
    <w:tbl>
      <w:tblPr>
        <w:tblW w:w="597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91"/>
        <w:gridCol w:w="172"/>
        <w:gridCol w:w="1643"/>
        <w:gridCol w:w="109"/>
        <w:gridCol w:w="1036"/>
        <w:gridCol w:w="145"/>
        <w:gridCol w:w="1580"/>
      </w:tblGrid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81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Termination by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Company Without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Cause or Resignation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with Good Reason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</w:t>
            </w:r>
          </w:p>
        </w:tc>
        <w:tc>
          <w:tcPr>
            <w:tcW w:w="114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Death/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Disability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(2)</w:t>
            </w:r>
          </w:p>
        </w:tc>
        <w:tc>
          <w:tcPr>
            <w:tcW w:w="172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Qualifying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Termination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Connection with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Change in Control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129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Lombardi </w:t>
            </w:r>
          </w:p>
        </w:tc>
        <w:tc>
          <w:tcPr>
            <w:tcW w:w="172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$3,400,401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$8,996,238</w:t>
            </w:r>
          </w:p>
        </w:tc>
        <w:tc>
          <w:tcPr>
            <w:tcW w:w="145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$14,655,106</w:t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Ms. Sacco </w:t>
            </w:r>
          </w:p>
        </w:tc>
        <w:tc>
          <w:tcPr>
            <w:tcW w:w="17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$1,266,718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$3,905,597</w:t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$6,439,032</w:t>
            </w:r>
          </w:p>
        </w:tc>
      </w:tr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Mekhail </w:t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$888,658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$1,139,051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$2,916,367</w:t>
            </w:r>
          </w:p>
        </w:tc>
      </w:tr>
      <w:tr>
        <w:trPr/>
        <w:tc>
          <w:tcPr>
            <w:tcW w:w="129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P’Pool </w:t>
            </w:r>
          </w:p>
        </w:tc>
        <w:tc>
          <w:tcPr>
            <w:tcW w:w="17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$867,243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$1,182,733</w:t>
            </w:r>
          </w:p>
        </w:tc>
        <w:tc>
          <w:tcPr>
            <w:tcW w:w="14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$2,917,219</w:t>
            </w:r>
          </w:p>
        </w:tc>
      </w:tr>
      <w:tr>
        <w:trPr/>
        <w:tc>
          <w:tcPr>
            <w:tcW w:w="129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 xml:space="preserve">Mr. Zerillo </w:t>
            </w:r>
          </w:p>
        </w:tc>
        <w:tc>
          <w:tcPr>
            <w:tcW w:w="17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3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$558,936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$797,419</w:t>
            </w:r>
          </w:p>
        </w:tc>
        <w:tc>
          <w:tcPr>
            <w:tcW w:w="145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$1,915,290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Reflects benefits payable pursuant to the terms and conditions of the executive severance plan (as described in detail above) and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assumes that the Compensation and Talent Management Committee does not accelerate the vesting of the unvested portion of the named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executive officer’s outstanding equity awards, in which case such unvested awards will be forfeited.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Assumes that the Compensation and Talent Management Committee accelerates the vesting of the unvested portion of the named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executive officer’s outstanding restricted stock unit awards. Accordingly, the amount shown includes the value of the accelerated vesting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restricted stock units . Per their terms, performance units will remain outstanding and vest on a pro-rata basis based upon actual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performance against the pre- established performance criteria (and, therefore, for purposes of this table the value included in this column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with respect to outstanding performance units assumes threshold performance).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Assumes that the named executive officer had a qualifying termination in connection with a change in control of the Company. In addition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to the severance payments to be received in connection with a qualifying termination following a change in control, the amount shown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includes the value of the accelerated vesting of performance stock units (based on target performance), restricted stock units and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in-the-money” stock option awards.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CEO Pay Ratio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As required by Section 953(b) of the Dodd-Frank Wall Street Reform and Consumer Protection Act, and Item 402(u)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Regulation S-K, we are providing the following information about the relationship of the annual total compensation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employees and the annual total compensation of our CEO. The pay ratio included in this information is a reasonable estimate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calculated in a manner consistent with Item 402(u) of Regulation S-K. Given the different methodologies that various public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companies will use to determine an estimate of their pay ratio, the estimated ratio reported below should not be used as a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basis for comparison between companies.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2026, our last completed fiscal year, we identified as the median of the annual total compensation of all employees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Company (other than our CEO) of $110,232, and the annual total compensation of our CEO, as reported in the Summary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Compensation Table included in this Proxy Statement, was $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6,004,547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. Based on this information, for 2026, the ratio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annual total compensation of our CEO to the median of the annual total compensation of all employees was 54 to 1. For 2026,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identified the median of the annual total compensation of all our employees and determined the annual total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 the “median employee,” the methodology and the material assumptions, adjustment and estimates that we used were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as follows: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For 2026, the “median employee” was selected on March 31, 2026. As of March 31, 2026, we had about 890 global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employees (full-time, part-time, temporary and seasonal) working at the Company and its consolidated subsidiaries.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determine our “median employee” from our 2026 employee population, we used a consistently applied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definition and chose total taxable wages before deductions for pre-tax items derived from our payroll records.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did not exclude any employees and we did not make any cost-of-living adjustments.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For employees located outside the United States, we applied a currency adjustment based on the average applicable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foreign currency exchange rates for the calendar year 2026.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We determined that the “median employee” is a full-time hourly employee located in the United States, with taxable wages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before deductions for pre-tax items for the 12-month period ending March 31, 2026 in the amount of $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110,232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With respect to the annual total compensation of the previously identified “median employee,” we calculated the elements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such employee’s compensation for 2026 in accordance with the requirements of Item 402(c)(2)(x) of Regulation S-K,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resulting in annual total compensation of $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110,232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With respect to the annual total compensation of our CEO, we used the amount reported in the “Total” column (column (j)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2026 Summary Compensation Table included in this Proxy Statement.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65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Pay Versus Performance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following disclosure is required by SEC rules to provide information about the relationship between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compensation and the Company’s performance on select financial metrics. The amounts set forth below under the headings 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Compensation Actually Paid to CEO” and “Average Compensation Actually Paid for NEOs” have been calculated in a manner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consistent with Item 402(v) of Regulation S-K. More information on the Company’s compensation program and decisions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2026 performance year can be found in the Compensation Discussion and Analysis.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PAY VERSUS PERFORMANCE TABLE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following table sets forth information regarding the Company’s Compensation Actually Paid and certain other Company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information for fiscal years 2026, 2025, 2024, 2023 and 2022.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1"/>
        <w:gridCol w:w="121"/>
        <w:gridCol w:w="1155"/>
        <w:gridCol w:w="121"/>
        <w:gridCol w:w="1155"/>
        <w:gridCol w:w="121"/>
        <w:gridCol w:w="1155"/>
        <w:gridCol w:w="121"/>
        <w:gridCol w:w="1155"/>
        <w:gridCol w:w="109"/>
        <w:gridCol w:w="130"/>
        <w:gridCol w:w="936"/>
        <w:gridCol w:w="130"/>
        <w:gridCol w:w="936"/>
        <w:gridCol w:w="154"/>
        <w:gridCol w:w="981"/>
        <w:gridCol w:w="154"/>
        <w:gridCol w:w="1030"/>
      </w:tblGrid>
      <w:tr>
        <w:trPr/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gridSpan w:val="2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for Non-CEO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(1)(3)</w:t>
            </w:r>
          </w:p>
        </w:tc>
        <w:tc>
          <w:tcPr>
            <w:tcW w:w="1276" w:type="dxa"/>
            <w:gridSpan w:val="2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Actually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Paid to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Non-CEO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(2)(3)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2" w:type="dxa"/>
            <w:gridSpan w:val="4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Value of Initial Fixed $100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Investment Based on: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Year</w:t>
            </w:r>
          </w:p>
        </w:tc>
        <w:tc>
          <w:tcPr>
            <w:tcW w:w="1276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for CEO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</w:t>
            </w:r>
          </w:p>
        </w:tc>
        <w:tc>
          <w:tcPr>
            <w:tcW w:w="1276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Actually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Paid to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(2)</w:t>
            </w:r>
          </w:p>
        </w:tc>
        <w:tc>
          <w:tcPr>
            <w:tcW w:w="1276" w:type="dxa"/>
            <w:gridSpan w:val="2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gridSpan w:val="2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gridSpan w:val="2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Shareholder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Return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(4)</w:t>
            </w:r>
          </w:p>
        </w:tc>
        <w:tc>
          <w:tcPr>
            <w:tcW w:w="1066" w:type="dxa"/>
            <w:gridSpan w:val="2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Peer Group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Shareholder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Return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(4)(5)</w:t>
            </w:r>
          </w:p>
        </w:tc>
        <w:tc>
          <w:tcPr>
            <w:tcW w:w="113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Net Income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(In Millions)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(6)</w:t>
            </w:r>
          </w:p>
        </w:tc>
        <w:tc>
          <w:tcPr>
            <w:tcW w:w="1184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Adjusted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EBITDA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(In Millions)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(7)</w:t>
            </w:r>
          </w:p>
        </w:tc>
      </w:tr>
      <w:tr>
        <w:trPr/>
        <w:tc>
          <w:tcPr>
            <w:tcW w:w="54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2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$6,004,547</w:t>
            </w:r>
          </w:p>
        </w:tc>
        <w:tc>
          <w:tcPr>
            <w:tcW w:w="12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$825,503</w:t>
            </w:r>
          </w:p>
        </w:tc>
        <w:tc>
          <w:tcPr>
            <w:tcW w:w="12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$1,567,337</w:t>
            </w:r>
          </w:p>
        </w:tc>
        <w:tc>
          <w:tcPr>
            <w:tcW w:w="12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$543,905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$134.39</w:t>
            </w:r>
          </w:p>
        </w:tc>
        <w:tc>
          <w:tcPr>
            <w:tcW w:w="130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$69.99</w:t>
            </w:r>
          </w:p>
        </w:tc>
        <w:tc>
          <w:tcPr>
            <w:tcW w:w="154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$190.3</w:t>
            </w:r>
          </w:p>
        </w:tc>
        <w:tc>
          <w:tcPr>
            <w:tcW w:w="154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0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$353.8</w:t>
            </w:r>
          </w:p>
        </w:tc>
      </w:tr>
      <w:tr>
        <w:trPr/>
        <w:tc>
          <w:tcPr>
            <w:tcW w:w="5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$6,193,019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$7,579,182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$1,900,729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$2,222,505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$194.96</w:t>
            </w:r>
          </w:p>
        </w:tc>
        <w:tc>
          <w:tcPr>
            <w:tcW w:w="1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$114.03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$214.6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$374.5</w:t>
            </w:r>
          </w:p>
        </w:tc>
      </w:tr>
      <w:tr>
        <w:trPr/>
        <w:tc>
          <w:tcPr>
            <w:tcW w:w="5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2024</w:t>
            </w:r>
          </w:p>
        </w:tc>
        <w:tc>
          <w:tcPr>
            <w:tcW w:w="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$5,763,133</w:t>
            </w:r>
          </w:p>
        </w:tc>
        <w:tc>
          <w:tcPr>
            <w:tcW w:w="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$9,714,056</w:t>
            </w:r>
          </w:p>
        </w:tc>
        <w:tc>
          <w:tcPr>
            <w:tcW w:w="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$1,381,549</w:t>
            </w:r>
          </w:p>
        </w:tc>
        <w:tc>
          <w:tcPr>
            <w:tcW w:w="1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$1,689,898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$164.57</w:t>
            </w:r>
          </w:p>
        </w:tc>
        <w:tc>
          <w:tcPr>
            <w:tcW w:w="1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$99.82</w:t>
            </w:r>
          </w:p>
        </w:tc>
        <w:tc>
          <w:tcPr>
            <w:tcW w:w="1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$209.3</w:t>
            </w:r>
          </w:p>
        </w:tc>
        <w:tc>
          <w:tcPr>
            <w:tcW w:w="1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$373.9</w:t>
            </w:r>
          </w:p>
        </w:tc>
      </w:tr>
      <w:tr>
        <w:trPr/>
        <w:tc>
          <w:tcPr>
            <w:tcW w:w="54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2023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$5,583,109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$9,544,538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$1,348,444</w:t>
            </w:r>
          </w:p>
        </w:tc>
        <w:tc>
          <w:tcPr>
            <w:tcW w:w="12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$1,900,028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$142.06</w:t>
            </w:r>
          </w:p>
        </w:tc>
        <w:tc>
          <w:tcPr>
            <w:tcW w:w="1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$87.94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$(82.3)</w:t>
            </w:r>
          </w:p>
        </w:tc>
        <w:tc>
          <w:tcPr>
            <w:tcW w:w="15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$378.1</w:t>
            </w:r>
          </w:p>
        </w:tc>
      </w:tr>
      <w:tr>
        <w:trPr/>
        <w:tc>
          <w:tcPr>
            <w:tcW w:w="54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2022</w:t>
            </w:r>
          </w:p>
        </w:tc>
        <w:tc>
          <w:tcPr>
            <w:tcW w:w="12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$6,031,517</w:t>
            </w:r>
          </w:p>
        </w:tc>
        <w:tc>
          <w:tcPr>
            <w:tcW w:w="12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$9,906,721</w:t>
            </w:r>
          </w:p>
        </w:tc>
        <w:tc>
          <w:tcPr>
            <w:tcW w:w="12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$1,507,548</w:t>
            </w:r>
          </w:p>
        </w:tc>
        <w:tc>
          <w:tcPr>
            <w:tcW w:w="12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$2,034,984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$120.10</w:t>
            </w:r>
          </w:p>
        </w:tc>
        <w:tc>
          <w:tcPr>
            <w:tcW w:w="130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$100.09</w:t>
            </w:r>
          </w:p>
        </w:tc>
        <w:tc>
          <w:tcPr>
            <w:tcW w:w="154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$205.4</w:t>
            </w:r>
          </w:p>
        </w:tc>
        <w:tc>
          <w:tcPr>
            <w:tcW w:w="154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0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$367.7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Represents the total compensation for Mr. Lombardi, our CEO, and the average total compensation for our non-CEO NEOs from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Summary Compensation Table for 2026, 2025, 2024, 2023, and 2022.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Represents the total compensation from the Summary Compensation Table for our CEO and the average total compensation for our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non-CEO NEOs during 2026, 2025, 2024, 2023, and 2022 as adjusted to reflect changes in the fair value of outstanding stock and option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awards in accordance with Item 402(v) of Regulation S-K. The table shown on the following page details the adjustments.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Our non-CEO NEOs include the following individuals for each of 2026, 2025, 2024, 2023, and 2022: Messrs. Mekhail, P’Pool, Zerillo and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Ms. Sacco.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Total Shareholder Return for each fiscal year assumes $100 was invested at the close of March 31, 2021 in the Company and the Peer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Group and that any dividends were reinvested when and as paid.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Peer Group reflects the Company’s peer group that is used for purposes of compensation benchmarking, as defined in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Compensation Discussion and Analysis. This peer group was changed for 2026 to exclude Jazz Pharmaceuticals, whose revenue size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was no longer comparable, Primo Water, which became too large on a revenue basis following a merger, and Vista Outdoor, which was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split and later acquired. Spectrum Brands, BellRing Brands, and Simply Good Foods were added as replacements based on their similar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financial profile. The Peer Group Total Shareholder Return with respect to the former peer group is $97.76, $84.03, $87.82, $104.52 and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$78.16, for 2022, 2023, 2024, 2025 and 2026, respectively.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dollar amounts reported represent the amount of net income reflected in the Company’s audited financial statements for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applicable year.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(7)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Represents the most important financial performance measure not otherwise reported in the above table that is used by the Company to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link actual compensation paid during the most recent fiscal year to the Company’s performance, as required pursuant to Item 402(v) of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Regulation S-K. Adjusted EBITDA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is defined as net income plus depreciation and amortization, interest expense, integration, transition,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purchase accounting, legal and various other costs associated with acquisitions and divestitures, trade name impairment and certain tax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adjustments. This metric and definition is consistent with Adjusted EBITDA used in the Annual Incentive Plan, as described in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Compensation Discussion and Analysis. Please refer to Appendix A for a reconciliation of Non-GAAP Adjusted EBITDA to GAAP Net Income.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4"/>
        <w:gridCol w:w="1404"/>
        <w:gridCol w:w="880"/>
        <w:gridCol w:w="796"/>
        <w:gridCol w:w="109"/>
        <w:gridCol w:w="796"/>
        <w:gridCol w:w="796"/>
        <w:gridCol w:w="109"/>
        <w:gridCol w:w="796"/>
        <w:gridCol w:w="796"/>
        <w:gridCol w:w="109"/>
        <w:gridCol w:w="796"/>
        <w:gridCol w:w="796"/>
        <w:gridCol w:w="109"/>
        <w:gridCol w:w="796"/>
        <w:gridCol w:w="843"/>
      </w:tblGrid>
      <w:tr>
        <w:trPr/>
        <w:tc>
          <w:tcPr>
            <w:tcW w:w="2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78" w:type="dxa"/>
            <w:gridSpan w:val="2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Reconciliation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Summary 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 xml:space="preserve">Totals and Compensation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Actually Paid</w:t>
            </w:r>
          </w:p>
        </w:tc>
        <w:tc>
          <w:tcPr>
            <w:tcW w:w="1676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2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2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2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2023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9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2022</w:t>
            </w:r>
          </w:p>
        </w:tc>
      </w:tr>
      <w:tr>
        <w:trPr/>
        <w:tc>
          <w:tcPr>
            <w:tcW w:w="1678" w:type="dxa"/>
            <w:gridSpan w:val="2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80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CEO</w:t>
            </w:r>
          </w:p>
        </w:tc>
        <w:tc>
          <w:tcPr>
            <w:tcW w:w="79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Non-CEO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NEOs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CEO</w:t>
            </w:r>
          </w:p>
        </w:tc>
        <w:tc>
          <w:tcPr>
            <w:tcW w:w="79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Non-CEO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NEOs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CEO</w:t>
            </w:r>
          </w:p>
        </w:tc>
        <w:tc>
          <w:tcPr>
            <w:tcW w:w="79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Non-CEO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NEOs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CEO</w:t>
            </w:r>
          </w:p>
        </w:tc>
        <w:tc>
          <w:tcPr>
            <w:tcW w:w="79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Non-CEO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NEOs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CEO</w:t>
            </w:r>
          </w:p>
        </w:tc>
        <w:tc>
          <w:tcPr>
            <w:tcW w:w="843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Non-CEO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3"/>
                <w:u w:val="none"/>
                <w:effect w:val="none"/>
              </w:rPr>
              <w:t>NEOs</w:t>
            </w:r>
          </w:p>
        </w:tc>
      </w:tr>
      <w:tr>
        <w:trPr/>
        <w:tc>
          <w:tcPr>
            <w:tcW w:w="1678" w:type="dxa"/>
            <w:gridSpan w:val="2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Table Total</w:t>
            </w:r>
          </w:p>
        </w:tc>
        <w:tc>
          <w:tcPr>
            <w:tcW w:w="880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$6,004,547</w:t>
            </w:r>
          </w:p>
        </w:tc>
        <w:tc>
          <w:tcPr>
            <w:tcW w:w="7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$1,567,337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$6,193,019</w:t>
            </w:r>
          </w:p>
        </w:tc>
        <w:tc>
          <w:tcPr>
            <w:tcW w:w="7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$1,900,729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$5,763,133</w:t>
            </w:r>
          </w:p>
        </w:tc>
        <w:tc>
          <w:tcPr>
            <w:tcW w:w="7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$1,381,549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$5,583,109</w:t>
            </w:r>
          </w:p>
        </w:tc>
        <w:tc>
          <w:tcPr>
            <w:tcW w:w="7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$1,348,444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$6,031,517</w:t>
            </w:r>
          </w:p>
        </w:tc>
        <w:tc>
          <w:tcPr>
            <w:tcW w:w="84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$1,507,548</w:t>
            </w:r>
          </w:p>
        </w:tc>
      </w:tr>
      <w:tr>
        <w:trPr/>
        <w:tc>
          <w:tcPr>
            <w:tcW w:w="1678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- Stock and Option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Awards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(a)</w:t>
            </w:r>
          </w:p>
        </w:tc>
        <w:tc>
          <w:tcPr>
            <w:tcW w:w="8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$4,099,959</w:t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$773,934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$4,000,008</w:t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$1,019,779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$3,700,034</w:t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$611,250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$3,600,031</w:t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$592,510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$3,299,970</w:t>
            </w:r>
          </w:p>
        </w:tc>
        <w:tc>
          <w:tcPr>
            <w:tcW w:w="8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$565,266</w:t>
            </w:r>
          </w:p>
        </w:tc>
      </w:tr>
      <w:tr>
        <w:trPr/>
        <w:tc>
          <w:tcPr>
            <w:tcW w:w="27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1235710"/>
                  <wp:effectExtent l="0" t="0" r="0" b="0"/>
                  <wp:docPr id="346" name="Image3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3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1235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3" w:name="i-346"/>
            <w:bookmarkEnd w:id="373"/>
          </w:p>
        </w:tc>
        <w:tc>
          <w:tcPr>
            <w:tcW w:w="140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+Year End Fair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Value of 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Awards Granted 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the Applicable Year</w:t>
            </w:r>
          </w:p>
        </w:tc>
        <w:tc>
          <w:tcPr>
            <w:tcW w:w="88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$2,928,471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$552,796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$4,916,796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$1,223,761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$4,349,174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$718,489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$4,139,342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$718,300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$3,940,907</w:t>
            </w:r>
          </w:p>
        </w:tc>
        <w:tc>
          <w:tcPr>
            <w:tcW w:w="843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$735,436</w:t>
            </w:r>
          </w:p>
        </w:tc>
      </w:tr>
      <w:tr>
        <w:trPr/>
        <w:tc>
          <w:tcPr>
            <w:tcW w:w="27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0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+Year over Year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Change in Fair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Value of 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Awards Granted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in Prior Years that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are Unvested 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Year End</w:t>
            </w:r>
          </w:p>
        </w:tc>
        <w:tc>
          <w:tcPr>
            <w:tcW w:w="88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$(3,926,725)</w:t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$(784,467)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$711,382</w:t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$151,828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$3,372,800</w:t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$274,980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$3,171,807</w:t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$365,822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$3,085,508</w:t>
            </w:r>
          </w:p>
        </w:tc>
        <w:tc>
          <w:tcPr>
            <w:tcW w:w="84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$315,689</w:t>
            </w:r>
          </w:p>
        </w:tc>
      </w:tr>
      <w:tr>
        <w:trPr/>
        <w:tc>
          <w:tcPr>
            <w:tcW w:w="27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0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+Year over Year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Change in Fair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Value of 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Awards Granted 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Prior Years that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Vested in the Year</w:t>
            </w:r>
          </w:p>
        </w:tc>
        <w:tc>
          <w:tcPr>
            <w:tcW w:w="88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$(80,832)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$(17,828)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$(242,007)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$(34,034)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$(71,018)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$(73,869)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$250,311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$59,972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$148,759</w:t>
            </w:r>
          </w:p>
        </w:tc>
        <w:tc>
          <w:tcPr>
            <w:tcW w:w="843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$41,577</w:t>
            </w:r>
          </w:p>
        </w:tc>
      </w:tr>
      <w:tr>
        <w:trPr/>
        <w:tc>
          <w:tcPr>
            <w:tcW w:w="1678" w:type="dxa"/>
            <w:gridSpan w:val="2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Actually Paid</w:t>
            </w:r>
          </w:p>
        </w:tc>
        <w:tc>
          <w:tcPr>
            <w:tcW w:w="880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$825,503</w:t>
            </w:r>
          </w:p>
        </w:tc>
        <w:tc>
          <w:tcPr>
            <w:tcW w:w="79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$543,905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$7,579,182</w:t>
            </w:r>
          </w:p>
        </w:tc>
        <w:tc>
          <w:tcPr>
            <w:tcW w:w="79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$2,222,505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$9,714,056</w:t>
            </w:r>
          </w:p>
        </w:tc>
        <w:tc>
          <w:tcPr>
            <w:tcW w:w="79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$1,689,898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$9,544,538</w:t>
            </w:r>
          </w:p>
        </w:tc>
        <w:tc>
          <w:tcPr>
            <w:tcW w:w="79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$1,900,028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$9,906,721</w:t>
            </w:r>
          </w:p>
        </w:tc>
        <w:tc>
          <w:tcPr>
            <w:tcW w:w="843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$2,034,984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(a)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Represents the aggregate grant date fair value of all equity awards reported in the Stock Awards and Stock Option Awards columns in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Summary Compensation Table for the applicable year.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(b)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Represents the sum of the fair value of all equity awards granted during the covered fiscal year, with financial performance measured at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end of the year plus the change in fair value of unvested awards granted in prior fiscal years, with financial performance measured at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end of the covered fiscal year (or, for awards that vested in the covered fiscal year, as of the vesting date). The valuation methodology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used to calculate fair values is consistent with those used at the time of grant.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Pay Versus Performance: Most Important Financial Performance Measures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As required by the SEC’s pay-versus-performance disclosure rules, the following table provides an unranked list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financial performance measures that, in the Company’s assessment, represent the most important measures used to link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compensation actually paid to our named executive officers to Company performance for fiscal 2026.</w:t>
      </w:r>
    </w:p>
    <w:tbl>
      <w:tblPr>
        <w:tblW w:w="27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31"/>
      </w:tblGrid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3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Most Important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Financial Performance Measures</w:t>
            </w:r>
          </w:p>
        </w:tc>
      </w:tr>
      <w:tr>
        <w:trPr/>
        <w:tc>
          <w:tcPr>
            <w:tcW w:w="273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Sales</w:t>
            </w:r>
          </w:p>
        </w:tc>
      </w:tr>
      <w:tr>
        <w:trPr/>
        <w:tc>
          <w:tcPr>
            <w:tcW w:w="27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</w:t>
            </w:r>
          </w:p>
        </w:tc>
      </w:tr>
      <w:tr>
        <w:trPr/>
        <w:tc>
          <w:tcPr>
            <w:tcW w:w="273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Free Cash Flow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believe Adjusted EBITDA is the financial performance measure that represents the most important link between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compensation actually paid to our named executive officers and Company performance for fiscal 2026. Accordingly, Adjusted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EBITDA is the “Company-Selected Measure” required to be disclosed under the SEC’s pay-versus-performance rules. 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described in greater detail in the Compensation Discussion and Analysis under “Annual Incentive Plan,” Adjusted EBITDA is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used in our Annual Incentive Plan and is indicative of the Company’s profitability and operating performance. We also view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Free Cash Flow as an important measure because it supports our capital allocation strategy.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67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2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Relationship Between Compensation and Financial Performance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table below shows the relationship between the compensation actually paid to the CEO and average non-CEO NEOs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relative to net income and adjusted EBITDA for 2026, 2025, 2024, 2023, and 2022.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 xml:space="preserve">PAY VS NET INCOME AND ADJUSTED EBITDA 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715000" cy="2788920"/>
            <wp:effectExtent l="0" t="0" r="0" b="0"/>
            <wp:docPr id="347" name="Image3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Image347" descr=""/>
                    <pic:cNvPicPr>
                      <a:picLocks noChangeAspect="1" noChangeArrowheads="1"/>
                    </pic:cNvPicPr>
                  </pic:nvPicPr>
                  <pic:blipFill>
                    <a:blip r:embed="rId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74" w:name="i-347"/>
      <w:bookmarkEnd w:id="374"/>
    </w:p>
    <w:tbl>
      <w:tblPr>
        <w:tblW w:w="77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9"/>
        <w:gridCol w:w="2716"/>
        <w:gridCol w:w="374"/>
        <w:gridCol w:w="4276"/>
      </w:tblGrid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Wingdings 2;sans-serif" w:hAnsi="Wingdings 2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Wingdings 2;sans-serif" w:hAnsi="Wingdings 2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¢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Compensation Actually Paid to CEO</w:t>
            </w:r>
          </w:p>
        </w:tc>
        <w:tc>
          <w:tcPr>
            <w:tcW w:w="37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Wingdings 2;sans-serif" w:hAnsi="Wingdings 2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546885"/>
                <w:sz w:val="20"/>
                <w:u w:val="none"/>
                <w:effect w:val="none"/>
              </w:rPr>
            </w:pPr>
            <w:r>
              <w:rPr>
                <w:rFonts w:ascii="Wingdings 2;sans-serif" w:hAnsi="Wingdings 2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546885"/>
                <w:sz w:val="20"/>
                <w:u w:val="none"/>
                <w:effect w:val="none"/>
              </w:rPr>
              <w:t>¢</w:t>
            </w:r>
          </w:p>
        </w:tc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Average Compensation Actually Paid to Non-CEO NEOs</w:t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83820"/>
                  <wp:effectExtent l="0" t="0" r="0" b="0"/>
                  <wp:docPr id="348" name="Image3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" name="Image3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83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5" w:name="i-348"/>
            <w:bookmarkEnd w:id="375"/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Prestige Net Income</w:t>
            </w:r>
          </w:p>
        </w:tc>
        <w:tc>
          <w:tcPr>
            <w:tcW w:w="37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81915"/>
                  <wp:effectExtent l="0" t="0" r="0" b="0"/>
                  <wp:docPr id="349" name="Image3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" name="Image3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8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6" w:name="i-349"/>
            <w:bookmarkEnd w:id="376"/>
          </w:p>
        </w:tc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Prestige Adjusted EBITDA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table below shows the relationship between the compensation actually paid to the CEO and average non-CEO NEOs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relative to Total Shareholder Return for Prestige and the peer group for 2026, 2025, 2024, 2023, and 2022.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PAY VS TSR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715000" cy="2834640"/>
            <wp:effectExtent l="0" t="0" r="0" b="0"/>
            <wp:docPr id="350" name="Image3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350" descr=""/>
                    <pic:cNvPicPr>
                      <a:picLocks noChangeAspect="1" noChangeArrowheads="1"/>
                    </pic:cNvPicPr>
                  </pic:nvPicPr>
                  <pic:blipFill>
                    <a:blip r:embed="rId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77" w:name="i-350"/>
      <w:bookmarkEnd w:id="377"/>
    </w:p>
    <w:tbl>
      <w:tblPr>
        <w:tblW w:w="77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9"/>
        <w:gridCol w:w="2716"/>
        <w:gridCol w:w="374"/>
        <w:gridCol w:w="4276"/>
      </w:tblGrid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Wingdings 2;sans-serif" w:hAnsi="Wingdings 2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</w:pPr>
            <w:r>
              <w:rPr>
                <w:rFonts w:ascii="Wingdings 2;sans-serif" w:hAnsi="Wingdings 2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20"/>
                <w:u w:val="none"/>
                <w:effect w:val="none"/>
              </w:rPr>
              <w:t>¢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Compensation Actually Paid to CEO</w:t>
            </w:r>
          </w:p>
        </w:tc>
        <w:tc>
          <w:tcPr>
            <w:tcW w:w="37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Wingdings 2;sans-serif" w:hAnsi="Wingdings 2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546885"/>
                <w:sz w:val="20"/>
                <w:u w:val="none"/>
                <w:effect w:val="none"/>
              </w:rPr>
            </w:pPr>
            <w:r>
              <w:rPr>
                <w:rFonts w:ascii="Wingdings 2;sans-serif" w:hAnsi="Wingdings 2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546885"/>
                <w:sz w:val="20"/>
                <w:u w:val="none"/>
                <w:effect w:val="none"/>
              </w:rPr>
              <w:t>¢</w:t>
            </w:r>
          </w:p>
        </w:tc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Average Compensation Actually Paid to Non-CEO NEOs</w:t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83820"/>
                  <wp:effectExtent l="0" t="0" r="0" b="0"/>
                  <wp:docPr id="351" name="Image3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" name="Image3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83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8" w:name="i-351"/>
            <w:bookmarkEnd w:id="378"/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Prestige Total Shareholder Return</w:t>
            </w:r>
          </w:p>
        </w:tc>
        <w:tc>
          <w:tcPr>
            <w:tcW w:w="37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81915"/>
                  <wp:effectExtent l="0" t="0" r="0" b="0"/>
                  <wp:docPr id="352" name="Image3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" name="Image3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8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9" w:name="i-352"/>
            <w:bookmarkEnd w:id="379"/>
          </w:p>
        </w:tc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Peer Group Total Shareholder Return</w:t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AUDIT MATTERS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1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8"/>
        <w:gridCol w:w="9752"/>
      </w:tblGrid>
      <w:tr>
        <w:trPr/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70" w:type="dxa"/>
            <w:gridSpan w:val="2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70" w:type="dxa"/>
            <w:gridSpan w:val="2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PROPOSAL 3: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  <w:t xml:space="preserve">Ratification of Appointment of the Independent 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40"/>
                <w:u w:val="none"/>
                <w:effect w:val="none"/>
              </w:rPr>
              <w:t>Registered Public Accounting Firm</w:t>
            </w:r>
          </w:p>
        </w:tc>
      </w:tr>
      <w:tr>
        <w:trPr/>
        <w:tc>
          <w:tcPr>
            <w:tcW w:w="10170" w:type="dxa"/>
            <w:gridSpan w:val="2"/>
            <w:tcBorders>
              <w:left w:val="single" w:sz="40" w:space="0" w:color="A6192E"/>
            </w:tcBorders>
            <w:shd w:fill="EDEFF2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7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7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Who has the Audit and Finance Committee selected as the Company’s independent accounting firm for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fiscal 2027?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Audit and Finance Committee has reappointed PricewaterhouseCoopers LLP as the independent registered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accounting firm to audit the Company’s financial statements and evaluate its systems of internal control over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reporting for fiscal 2027. However, the Audit and Finance Committee may, in its discretion, decide to engage another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independent registered public accounting firm as the Company’s auditor for fiscal 2027.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Is stockholder approval required for the appointment of an independent accounting firm for 2027?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Stockholder ratification of the selection of PricewaterhouseCoopers LLP as our independent registered public accounting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firm is not required. However, the Board of Directors is submitting the selection of PricewaterhouseCoopers LLP to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stockholders for ratification as a matter of good corporate practice. In the event the stockholders do not ratify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appointment of PricewaterhouseCoopers LLP, the Audit and Finance Committee will reconsider the appointment; however,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Audit and Finance Committee may, in its discretion, still direct the appointment of PricewaterhouseCoopers LLP.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Likewise, stockholder ratification of the selection of PricewaterhouseCoopers LLP would not prevent the Audit and Finance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Committee, in its discretion, from selecting and engaging another independent registered public accounting firm.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Will representatives of PricewaterhouseCoopers LLP attend the Annual Meeting?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Representatives of PricewaterhouseCoopers LLP are expected to be present at the Annual Meeting, either in person or by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videoconference or by telephone, will have the opportunity to make a statement if they desire to do so, and are expected 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be available to respond to appropriate questions.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 xml:space="preserve">Has the Audit and Finance Committee determined PricewaterhouseCoopers LLP’s independence from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the Company?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Audit and Finance Committee has considered the relationships with and the non-audit services provided by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PricewaterhouseCoopers LLP and determined that the such relationships and the provision of such services had no effect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on PricewaterhouseCoopers LLP’s independence from the Company.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How many votes are needed to ratify the appointment of our independent accounting firm for 2027?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Approval of the proposal to ratify the appointment of PricewaterhouseCoopers LLP requires the affirmative vote of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majority of the shares present and voting, in person or represented by proxy, at the Annual Meeting and entitled to vote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the proposal.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What Does the Board of Directors Recommend?</w:t>
            </w:r>
          </w:p>
        </w:tc>
      </w:tr>
      <w:tr>
        <w:trPr/>
        <w:tc>
          <w:tcPr>
            <w:tcW w:w="10170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70" w:type="dxa"/>
            <w:gridSpan w:val="2"/>
            <w:tcBorders>
              <w:top w:val="single" w:sz="4" w:space="0" w:color="1B365D"/>
              <w:left w:val="single" w:sz="4" w:space="0" w:color="1B365D"/>
              <w:right w:val="single" w:sz="4" w:space="0" w:color="1B365D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8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2880"/>
                  <wp:effectExtent l="0" t="0" r="0" b="0"/>
                  <wp:docPr id="353" name="Image3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" name="Image3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0" w:name="i-353"/>
            <w:bookmarkEnd w:id="380"/>
          </w:p>
        </w:tc>
        <w:tc>
          <w:tcPr>
            <w:tcW w:w="9752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Board recommends that you vote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FOR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the ratification of PricewaterhouseCoopers LLP as the Company’s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independent registered public accounting firm for 2027.</w:t>
            </w:r>
          </w:p>
        </w:tc>
      </w:tr>
      <w:tr>
        <w:trPr/>
        <w:tc>
          <w:tcPr>
            <w:tcW w:w="10170" w:type="dxa"/>
            <w:gridSpan w:val="2"/>
            <w:tcBorders>
              <w:left w:val="single" w:sz="4" w:space="0" w:color="1B365D"/>
              <w:bottom w:val="single" w:sz="4" w:space="0" w:color="1B365D"/>
              <w:right w:val="single" w:sz="4" w:space="0" w:color="1B365D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69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Audit Matters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Selection and Engagement of Auditors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Audit and Finance Committee has the sole authority and responsibility to hire, evaluate and, when appropriate, replace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Company’s independent registered public accounting firm and, in its capacity as a committee of the Board, is directly responsible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the appointment, compensation and general oversight of the work of the independent auditors. Although the Audit and Finance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Committee has the sole authority to appoint the independent auditors, the Board submits its selection to our shareholders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ratification as a matter of good corporate governance. In addition to the benefits of a long-term engagement, the Audit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Finance Committee considers many factors when selecting the independent registered public accounting firm, including:</w:t>
      </w:r>
    </w:p>
    <w:tbl>
      <w:tblPr>
        <w:tblW w:w="930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46"/>
        <w:gridCol w:w="109"/>
        <w:gridCol w:w="109"/>
        <w:gridCol w:w="2596"/>
        <w:gridCol w:w="109"/>
        <w:gridCol w:w="109"/>
        <w:gridCol w:w="3226"/>
      </w:tblGrid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20040" cy="320040"/>
                  <wp:effectExtent l="0" t="0" r="0" b="0"/>
                  <wp:docPr id="354" name="Image3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3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1" w:name="i-354"/>
            <w:bookmarkEnd w:id="381"/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94640" cy="320040"/>
                  <wp:effectExtent l="0" t="0" r="0" b="0"/>
                  <wp:docPr id="355" name="Image3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" name="Image3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640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2" w:name="i-355"/>
            <w:bookmarkEnd w:id="382"/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320040"/>
                  <wp:effectExtent l="0" t="0" r="0" b="0"/>
                  <wp:docPr id="356" name="Image3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3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3" w:name="i-356"/>
            <w:bookmarkEnd w:id="383"/>
          </w:p>
        </w:tc>
      </w:tr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quality and efficiency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services through global capabilities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offered by the independent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registered public accounting firm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appropriateness 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independent registered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accounting firm’s fees</w:t>
            </w:r>
          </w:p>
        </w:tc>
        <w:tc>
          <w:tcPr>
            <w:tcW w:w="109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quality and candor 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communications between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independent registered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accounting firm and the Audit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Finance Committee and management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Audit and Non-Audit Fees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fiscal 2026 and 2025, the following fees were billed by PricewaterhouseCoopers LLP to the Company for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indicated services:</w:t>
      </w:r>
    </w:p>
    <w:tbl>
      <w:tblPr>
        <w:tblW w:w="55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86"/>
        <w:gridCol w:w="1036"/>
        <w:gridCol w:w="109"/>
        <w:gridCol w:w="1081"/>
      </w:tblGrid>
      <w:tr>
        <w:trPr/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8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28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Audit Fees</w:t>
            </w:r>
          </w:p>
        </w:tc>
        <w:tc>
          <w:tcPr>
            <w:tcW w:w="103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$1,884,669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$1,643,367</w:t>
            </w:r>
          </w:p>
        </w:tc>
      </w:tr>
      <w:tr>
        <w:trPr/>
        <w:tc>
          <w:tcPr>
            <w:tcW w:w="3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Audit Related Fees</w:t>
            </w:r>
          </w:p>
        </w:tc>
        <w:tc>
          <w:tcPr>
            <w:tcW w:w="10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8,548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6,257</w:t>
            </w:r>
          </w:p>
        </w:tc>
      </w:tr>
      <w:tr>
        <w:trPr/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Tax Fees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151,563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183,630</w:t>
            </w:r>
          </w:p>
        </w:tc>
      </w:tr>
      <w:tr>
        <w:trPr/>
        <w:tc>
          <w:tcPr>
            <w:tcW w:w="32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All Other Fees</w:t>
            </w:r>
          </w:p>
        </w:tc>
        <w:tc>
          <w:tcPr>
            <w:tcW w:w="10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2,168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Independent Accountant’s Fees</w:t>
            </w:r>
          </w:p>
        </w:tc>
        <w:tc>
          <w:tcPr>
            <w:tcW w:w="1036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$2,046,948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$1,833,254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Audit Fees.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Consisted of fees billed for professional services rendered for (i) the audit of our consolidated financial statements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internal control over financial reporting; (ii) the review of the interim consolidated financial statements included in quarterly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reports; and (iii) the services that are normally provided by PricewaterhouseCoopers LLP in connection with statutory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regulatory filings or engagements. Audit fees for 2026 include additional audit procedures for an acquisition.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Audit-Related Fees.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2026 and 2025, consisted of fees billed for assistance with compilation of statutory financial statements.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Tax Fees.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Consisted of fees billed for professional services for tax compliance, tax advice and tax planning. These services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included assistance regarding federal, state and international tax compliance, customs and duties and tax planning.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All Other Fees.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2026, consisted of fees for licensing software for accounting research.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Pre-Approval of Audit and Non-Audit Services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Audit and Finance Committee’s policy is to pre-approve all audit and permissible non-audit services provided by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independent registered public accounting firm. These services may include audit services, audit-related services, tax services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other services. Pre-approval is generally provided for up to one year and any pre-approval is detailed as to the particular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service or category of services and is generally subject to a specific budget. The independent registered public accounting firm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management are required to periodically report to the Audit and Finance Committee regarding the extent of services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provided by the independent registered public accounting firm in accordance with this pre-approval and the fees for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services performed to date. The Audit and Finance Committee may also pre-approve particular services on a case-by-case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basis. During fiscal 2026, all audit and non-audit services were approved in accordance with the Audit and Finance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Committee’s pre-approval policy.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Audit Matters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Report of the Audit and Finance Committee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 xml:space="preserve">This Audit and Finance Committee report shall not be deemed incorporated by reference by any general statement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 xml:space="preserve">incorporating by reference this Proxy Statement into any filing under the Securities Act or the Exchange Act, except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 xml:space="preserve">extent that we specifically incorporate this information by reference and shall not otherwise be deemed filed under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Securities Act or the Exchange Act.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What is the Audit and Finance Committee and are its members “independent”?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Audit and Finance Committee is composed of four directors appointed by the Board of Directors, all of whom are independent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from the Company and its management as independence for audit committee members is defined in the NYSE listing standards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Rule 10A-3 under the Exchange Act. The Audit and Finance Committee operates under a written charter adopted by the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Board of Directors, which is available at the “Investors” tab on our website at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www.prestigeconsumerhealthcare.com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is also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available in print to any stockholder or other interested party who makes a written request to the Company’s Corporate Secretary.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primary function of the Audit and Finance Committee is to assist the Board of Directors in its oversight and monitoring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financial reporting and audit process, our system of internal control, our risk assessment process (including with respect to cyber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risk and privacy) and our process for monitoring compliance with laws, regulations and policies. The Audit and Finance Committee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also recommends to the Board of Directors the selection of the Company’s independent registered public accounting firm.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Are the members of the Audit and Finance Committee “financially literate”?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members of the Audit and Finance Committee are financially literate as that qualification is interpreted by the Board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Directors and the NYSE. In addition, the Board has determined that each of Messrs. Byom and D’Arecca and Ms. Zier is an 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audit committee financial expert” as defined by SEC regulations.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What is the relationship between management and the Audit and Finance Committee?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Management has the primary responsibility for establishing and monitoring adequate internal accounting and financial controls,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financial reporting process for preparing financial statements, and compliance with the Company’s legal and ethics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programs. PricewaterhouseCoopers LLP is responsible for performing an independent audit of the Company’s consolidated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financial statements and internal control over financial reporting in accordance with auditing standards generally accepted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United States of America and for issuance of a report thereon.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Audit and Finance Committee’s responsibility is to monitor and oversee these processes and report its findings to the full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Board of Directors.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71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Audit Matters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 xml:space="preserve">What steps did the Audit and Finance Committee take in recommending that our audited financial statements be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included in our annual report?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Audit and Finance Committee met and held discussions separately and jointly with each of management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PricewaterhouseCoopers LLP regarding the Company’s audited consolidated financial statements for fiscal 2026,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management’s assessment of the effectiveness of the Company’s internal control over financial reporting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PricewaterhouseCoopers LLP’s audit of the effectiveness of the Company’s internal control over financial reporting.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Management represented to the Audit and Finance Committee that the Company’s audited consolidated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statements were prepared in accordance with accounting principles generally accepted in the United States of America, 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 consistent basis, and the Audit and Finance Committee has reviewed and discussed the quarterly and annual earnings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press releases and consolidated financial statements with management and PricewaterhouseCoopers LLP. The Audit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Finance Committee discussed with PricewaterhouseCoopers LLP matters required to be discussed by Public Company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Accounting Oversight Board (“PCAOB”) Auditing Standard No. 1301, as amended, “Communications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Audit Committees.”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Audit and Finance Committee also received the written disclosures and the letter from PricewaterhouseCoopers LLP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required by PCAOB Rule 3526, “Communication with Audit Committees Concerning Independence” and discussed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PricewaterhouseCoopers LLP their independence. The Audit and Finance Committee also considered whether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PricewaterhouseCoopers LLP’s provision of non-audit services to the Company is compatible with maintaining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PricewaterhouseCoopers LLP’s independence from the Company. The Audit and Finance Committee concluded that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PricewaterhouseCoopers LLP is independent from the Company and its management. PricewaterhouseCoopers LLP has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been the Company’s independent registered public accounting firm since at least 1999.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Based on its review of the Company’s audited financial statements and the discussions noted above, the Audit and Finance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Committee recommended to the Board of Directors that the Company’s audited consolidated financial statements for fiscal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 be included in the Company’s Annual Report on Form 10-K for 2026 for filing with the SEC.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MEMBERS OF THE 2026 AUDIT AND FINANCE COMMITTEE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  <w:t xml:space="preserve">James C. D’Arecca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(Chair)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  <w:t>John E. Byom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  <w:t xml:space="preserve">Sheila A. Hopkins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A6192E"/>
          <w:sz w:val="18"/>
          <w:u w:val="none"/>
          <w:effect w:val="none"/>
        </w:rPr>
        <w:t>Dawn M. Zier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 xml:space="preserve">SECURITY OWNERSHIP </w:t>
      </w: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INFORMATION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 xml:space="preserve">Securities Ownership of Certain Beneficial Owners </w:t>
      </w: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and Management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following table sets forth certain information with respect to the beneficial ownership of our common stock as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June 10, 2026 by: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each of our named executive officers;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each of our directors and nominees for director;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all directors and executive officers as a group;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each person or entity known to us to be the beneficial owner of more than five percent of our outstanding shares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 stock.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Unless otherwise indicated, (i) each person or entity named below has sole voting and investment power with respect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number of shares set forth opposite his, her or its name; and (ii) the address of each person named in the table below is c/o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Prestige Consumer Healthcare Inc., 660 White Plains Road, Tarrytown, New York 10591.</w:t>
      </w:r>
    </w:p>
    <w:tbl>
      <w:tblPr>
        <w:tblW w:w="73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01"/>
        <w:gridCol w:w="1010"/>
        <w:gridCol w:w="1255"/>
      </w:tblGrid>
      <w:tr>
        <w:trPr/>
        <w:tc>
          <w:tcPr>
            <w:tcW w:w="5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5" w:type="dxa"/>
            <w:gridSpan w:val="2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Shares Beneficially Owned</w:t>
            </w:r>
          </w:p>
        </w:tc>
      </w:tr>
      <w:tr>
        <w:trPr/>
        <w:tc>
          <w:tcPr>
            <w:tcW w:w="510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Name of Beneficial Owner</w:t>
            </w:r>
          </w:p>
        </w:tc>
        <w:tc>
          <w:tcPr>
            <w:tcW w:w="1010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</w:t>
            </w:r>
          </w:p>
        </w:tc>
        <w:tc>
          <w:tcPr>
            <w:tcW w:w="1255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Percentage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510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5% or more Stockholders:</w:t>
            </w:r>
          </w:p>
        </w:tc>
        <w:tc>
          <w:tcPr>
            <w:tcW w:w="1010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BlackRock, Inc.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(2)</w:t>
            </w:r>
          </w:p>
        </w:tc>
        <w:tc>
          <w:tcPr>
            <w:tcW w:w="10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7,524,587</w:t>
            </w:r>
          </w:p>
        </w:tc>
        <w:tc>
          <w:tcPr>
            <w:tcW w:w="12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15.9%</w:t>
            </w:r>
          </w:p>
        </w:tc>
      </w:tr>
      <w:tr>
        <w:trPr/>
        <w:tc>
          <w:tcPr>
            <w:tcW w:w="51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Ariel Investments, LLC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(3)</w:t>
            </w:r>
          </w:p>
        </w:tc>
        <w:tc>
          <w:tcPr>
            <w:tcW w:w="10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4,102,497</w:t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8.7%</w:t>
            </w:r>
          </w:p>
        </w:tc>
      </w:tr>
      <w:tr>
        <w:trPr/>
        <w:tc>
          <w:tcPr>
            <w:tcW w:w="51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Dimensional Fund Advisors LP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(4)</w:t>
            </w:r>
          </w:p>
        </w:tc>
        <w:tc>
          <w:tcPr>
            <w:tcW w:w="10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2,907,066</w:t>
            </w:r>
          </w:p>
        </w:tc>
        <w:tc>
          <w:tcPr>
            <w:tcW w:w="12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6.1%</w:t>
            </w:r>
          </w:p>
        </w:tc>
      </w:tr>
      <w:tr>
        <w:trPr/>
        <w:tc>
          <w:tcPr>
            <w:tcW w:w="51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Vanguard Portfolio Management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(5)</w:t>
            </w:r>
          </w:p>
        </w:tc>
        <w:tc>
          <w:tcPr>
            <w:tcW w:w="10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2,826,536</w:t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6.0%</w:t>
            </w:r>
          </w:p>
        </w:tc>
      </w:tr>
      <w:tr>
        <w:trPr/>
        <w:tc>
          <w:tcPr>
            <w:tcW w:w="51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Vanguard Capital Management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(6)</w:t>
            </w:r>
          </w:p>
        </w:tc>
        <w:tc>
          <w:tcPr>
            <w:tcW w:w="10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2,454,974</w:t>
            </w:r>
          </w:p>
        </w:tc>
        <w:tc>
          <w:tcPr>
            <w:tcW w:w="12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5.2%</w:t>
            </w:r>
          </w:p>
        </w:tc>
      </w:tr>
      <w:tr>
        <w:trPr/>
        <w:tc>
          <w:tcPr>
            <w:tcW w:w="51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Directors and Named Executive Officers:</w:t>
            </w:r>
          </w:p>
        </w:tc>
        <w:tc>
          <w:tcPr>
            <w:tcW w:w="10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Ronald M. Lombardi</w:t>
            </w:r>
          </w:p>
        </w:tc>
        <w:tc>
          <w:tcPr>
            <w:tcW w:w="10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376,501</w:t>
            </w:r>
          </w:p>
        </w:tc>
        <w:tc>
          <w:tcPr>
            <w:tcW w:w="12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Adel Mekhail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(7)</w:t>
            </w:r>
          </w:p>
        </w:tc>
        <w:tc>
          <w:tcPr>
            <w:tcW w:w="10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21,776</w:t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William C. P’Pool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(8)</w:t>
            </w:r>
          </w:p>
        </w:tc>
        <w:tc>
          <w:tcPr>
            <w:tcW w:w="10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51,003</w:t>
            </w:r>
          </w:p>
        </w:tc>
        <w:tc>
          <w:tcPr>
            <w:tcW w:w="12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Christine Sacco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(9)</w:t>
            </w:r>
          </w:p>
        </w:tc>
        <w:tc>
          <w:tcPr>
            <w:tcW w:w="10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95,829</w:t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Jeffrey Zerillo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(10)</w:t>
            </w:r>
          </w:p>
        </w:tc>
        <w:tc>
          <w:tcPr>
            <w:tcW w:w="10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61,107</w:t>
            </w:r>
          </w:p>
        </w:tc>
        <w:tc>
          <w:tcPr>
            <w:tcW w:w="12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John E. Byom</w:t>
            </w:r>
          </w:p>
        </w:tc>
        <w:tc>
          <w:tcPr>
            <w:tcW w:w="10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49,500</w:t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Celeste A. Clark</w:t>
            </w:r>
          </w:p>
        </w:tc>
        <w:tc>
          <w:tcPr>
            <w:tcW w:w="10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11,436</w:t>
            </w:r>
          </w:p>
        </w:tc>
        <w:tc>
          <w:tcPr>
            <w:tcW w:w="12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James C. D’Arecca</w:t>
            </w:r>
          </w:p>
        </w:tc>
        <w:tc>
          <w:tcPr>
            <w:tcW w:w="10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4,497</w:t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Sheila A. Hopkins</w:t>
            </w:r>
          </w:p>
        </w:tc>
        <w:tc>
          <w:tcPr>
            <w:tcW w:w="10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28,029</w:t>
            </w:r>
          </w:p>
        </w:tc>
        <w:tc>
          <w:tcPr>
            <w:tcW w:w="12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John F. Kelly</w:t>
            </w:r>
          </w:p>
        </w:tc>
        <w:tc>
          <w:tcPr>
            <w:tcW w:w="10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2,757</w:t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Dawn M. Zier</w:t>
            </w:r>
          </w:p>
        </w:tc>
        <w:tc>
          <w:tcPr>
            <w:tcW w:w="10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14,439</w:t>
            </w:r>
          </w:p>
        </w:tc>
        <w:tc>
          <w:tcPr>
            <w:tcW w:w="125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0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All directors and executive officers as a group (11 persons)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(11)</w:t>
            </w:r>
          </w:p>
        </w:tc>
        <w:tc>
          <w:tcPr>
            <w:tcW w:w="1010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716,874</w:t>
            </w:r>
          </w:p>
        </w:tc>
        <w:tc>
          <w:tcPr>
            <w:tcW w:w="1255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1.5%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*Denotes less than one percent.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Percent is based o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  <w:shd w:fill="FFFFFF" w:val="clear"/>
        </w:rPr>
        <w:t>n 47,372,166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shares of our common stock outstanding as of June 10, 2026.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address for BlackRock, Inc. is 50 Hudson Yards, New York, NY 10001. BlackRock, Inc., together with its subsidiaries, affiliates, and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certain other business units, has sole voting power with respect to 7,423,766 shares and sole dispositive power with respect to 7,524,587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shares. The information disclosed herein was obtained from the Schedule 13G/A filed with the SEC by BlackRock, Inc. on April 30, 2025.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73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Security Ownership Information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address for Ariel Investments, LLC. is 200 E. Randolph Street, Suite 2900, Chicago, IL 60601. Ariel Investments, LLC has sole voting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power with respect to 3,672,254 shares and sole dispositive power with respect to 4,102,497 shares. The information disclosed herein was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obtained from the Schedule 13G/A filed with the SEC by Ariel Investments, LLC on February 13, 2026.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address for Dimensional Fund Advisors LP is 6300 Bee Cave Road, Building One, Austin, TX 78746. Dimensional Fund Advisors LP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has sole voting power with respect to 2,827,065 shares and sole dispositive power with respect to 2,907,066 shares. Dimensional Fund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Advisors LP or its subsidiaries serve as investment manager, sub-adviser and/or adviser to certain investment companies, commingled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funds, group trusts and separate accounts that own all the reported shares. Dimensional Fund Advisors LP disclaims beneficial ownership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of such shares. The information disclosed herein was obtained from the Schedule 13G/A filed with the SEC by Dimensional Fund Advisors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LP on January 23, 2025.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address for Vanguard Portfolio Management is 100 Vanguard Blvd., Malvern, PA 19355. Vanguard Portfolio Management together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with Vanguard Fiduciary Trust Company and Vanguard Global Advisers LLC  has sole voting power with respect to 22,708 shares and sole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dispositive power with respect to 2,826,536 shares. The information disclosed herein was obtained from the Schedule 13G/A filed with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SEC by Vanguard Portfolio Management on April 29, 2026.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The address for Vanguard Capital Management is 100 Vanguard Blvd., Malvern, PA 19355. Vanguard Capital Management has sole voting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power with respect to 361,981 shares and sole dispositive power with respect to 2,454,974 shares. The information disclosed herein was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obtained from the Schedule 13G/A filed with the SEC by Vanguard Capital Management on April 30, 2026.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(7)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Includes shares of the Company’s common stock underlying options that vested and became exercisable as follows: 2,842 shares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May 2, 2025.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(8)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Includes shares of the Company’s common stock underlying stock options that vested and became exercisable as follows: (i) 2,111 shares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on each of May 8, 2018, 2019, and 2020; (ii) 3,832 shares on each of May 3, 2022, 2023 and 2024; (iii) 2,731 shares on May 2, 2023; and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(iv) 2,732 shares on May 2, 2024 and 2025.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(9)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Includes shares of the Company’s common stock underlying stock options that vested and became exercisable as follows: (i) 6,868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each of May 4, 2021, 2022 and 2023; (iv) 7,310 shares on each of May 3, 2022, 2023 and 2024; (v) 5,683 shares on each of May 2, 2023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and 2024; and (vi) 5,684 shares on May 2, 2025.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(10)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Includes shares of the Company’s common stock underlying stock options that vested and become exercisable as follows: (i) 3,359 shares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on each of May 7, 2019 and 2020; (ii) 3,360 shares on May 7, 2021; (iii) 3,354 shares on each of May 6, 2020 and 2021; (iv) 3,355 shares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on May 6, 2022; (v) 2,799 shares on May 4, 2021; (vi) 2,800 shares on each of May 4, 2022 and 2023; (vii) 2,600 shares on May 3, 2022;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(viii) 2,601 shares on each of May 3, 2023 and 2024; (ix) 1,838 shares on May 2, 2023; and (x) 1,839 shares on May 2, 2024 and 2025.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Includes 130,308 shares of the Company’s common stock underlying stock options currently exercisable or exercisable within 60 days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June 10,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Delinquent Section 16(a) Reports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Section 16(a) of the Exchange Act requires the Company's directors and executive officers, and persons who own more than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10% of a registered class of the Company's equity securities, to file with the SEC initial reports of ownership and reports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changes in ownership of common stock and other equity securities of the Company. Officers, directors and greater than 10%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shareholders are required by SEC regulations to furnish the Company with copies of all Section 16(a) forms they file.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Based solely on a review of the copies of such reports furnished to the Company and written representations that no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reports were required, the Company believes that all filing requirements applicable to its officers, directors and greater than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10% beneficial owners were complied with during fiscal 2026, except that Jose Luis Rosado did not timely file his Form 3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did not timely file one Form 4 reporting a grant from the Company upon joining the Company in January 2026. Both Forms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have been subsequently filed.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Security Ownership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Equity Compensation Plan Information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following table sets forth certain information regarding our equity compensation plans as of March 31, 2026.</w:t>
      </w:r>
    </w:p>
    <w:tbl>
      <w:tblPr>
        <w:tblW w:w="880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26"/>
        <w:gridCol w:w="931"/>
        <w:gridCol w:w="256"/>
        <w:gridCol w:w="846"/>
        <w:gridCol w:w="265"/>
        <w:gridCol w:w="1001"/>
        <w:gridCol w:w="484"/>
      </w:tblGrid>
      <w:tr>
        <w:trPr/>
        <w:tc>
          <w:tcPr>
            <w:tcW w:w="5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Plan Category</w:t>
            </w:r>
          </w:p>
        </w:tc>
        <w:tc>
          <w:tcPr>
            <w:tcW w:w="1187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to Be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Issued Upon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Exercise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Outstanding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and Rights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(A)</w:t>
            </w:r>
          </w:p>
        </w:tc>
        <w:tc>
          <w:tcPr>
            <w:tcW w:w="1111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Exercise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Price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Outstanding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and Rights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(B)</w:t>
            </w:r>
          </w:p>
        </w:tc>
        <w:tc>
          <w:tcPr>
            <w:tcW w:w="1485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Available 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Future Issuance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Under 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Plans (Excluding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Reflected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Column (A))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(C)</w:t>
            </w:r>
          </w:p>
        </w:tc>
      </w:tr>
      <w:tr>
        <w:trPr/>
        <w:tc>
          <w:tcPr>
            <w:tcW w:w="502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Equity compensation plans approved by security holders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(1)</w:t>
            </w:r>
          </w:p>
        </w:tc>
        <w:tc>
          <w:tcPr>
            <w:tcW w:w="93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1,196,959</w:t>
            </w:r>
          </w:p>
        </w:tc>
        <w:tc>
          <w:tcPr>
            <w:tcW w:w="25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(2)</w:t>
            </w:r>
          </w:p>
        </w:tc>
        <w:tc>
          <w:tcPr>
            <w:tcW w:w="84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$56.40</w:t>
            </w:r>
          </w:p>
        </w:tc>
        <w:tc>
          <w:tcPr>
            <w:tcW w:w="265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(3)</w:t>
            </w:r>
          </w:p>
        </w:tc>
        <w:tc>
          <w:tcPr>
            <w:tcW w:w="100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1,423,704</w:t>
            </w:r>
          </w:p>
        </w:tc>
        <w:tc>
          <w:tcPr>
            <w:tcW w:w="484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(4)(5)</w:t>
            </w:r>
          </w:p>
        </w:tc>
      </w:tr>
      <w:tr>
        <w:trPr/>
        <w:tc>
          <w:tcPr>
            <w:tcW w:w="50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 compensation plans not approved by security holders</w:t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—</w:t>
            </w:r>
          </w:p>
        </w:tc>
        <w:tc>
          <w:tcPr>
            <w:tcW w:w="25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6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84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26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93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1,196,959</w:t>
            </w:r>
          </w:p>
        </w:tc>
        <w:tc>
          <w:tcPr>
            <w:tcW w:w="256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$56.40</w:t>
            </w:r>
          </w:p>
        </w:tc>
        <w:tc>
          <w:tcPr>
            <w:tcW w:w="265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1,423,704</w:t>
            </w:r>
          </w:p>
        </w:tc>
        <w:tc>
          <w:tcPr>
            <w:tcW w:w="484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2020 LTIP replaced the 2005 LTIP upon stockholder approval of the 2020 LTIP on August 4, 2020. No further grants will be made under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the 2005 LTIP.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Consists of shares issuable pursuant to the exercise of outstanding stock options and the conversion of outstanding restricted stock units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and performance stock unit awards (assuming achievement of maximum performance levels).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Calculation of the weighted-average exercise price of outstanding awards includes stock options but does not include restricted stock units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and performance stock units that convert to shares of common stock for no consideration.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All such shares may be issued pursuant to grants of full-value stock awards.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0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All remaining available securities are from the 2020 LTIP.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75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 xml:space="preserve">INFORMATION ABOUT THE </w:t>
      </w: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ANNUAL MEETING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General Information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What is this document?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This document is the Proxy Statement of Prestige Consumer Healthcare Inc. for the 2026 Annual Meeting of Stockholders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be held at 10:00 a.m., Eastern Daylight Time, on Tuesday, August 4, 2026 at the Company’s offices, 660 White Plains Road,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Tarrytown, New York 10591. A proxy card is included.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have tried to make this document simple and easy to understand. The SEC encourages companies to use “plain English,”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and we will always try to communicate with you clearly and effectively.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Why am I receiving this document?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You are receiving this document because you were one of our stockholders at the close of business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June 10,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2026,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record date for our 2026 Annual Meeting. We are furnishing this Proxy Statement and the enclosed proxy card to you to solicit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your proxy (i.e., your permission) to vote your stock in connection with certain matters at the Annual Meeting.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your shares are held by a bank or brokerage firm, you are considered the “beneficial owner” of shares held in “street name.”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your shares are held in “street name,” your bank or brokerage firm forwarded these proxy materials, along with a voting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instruction card, to you.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What is a proxy?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 proxy is your legal designation of another person, called a “proxy,” to vote the stock you own. The document that designates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someone as your proxy is also called a proxy or a proxy card.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Giving us your proxy means that you authorize the proxy holders identified on the enclosed proxy card — Christine Sacco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William C. P’Pool — to vote your shares at the Annual Meeting in the manner you direct.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Who is soliciting my vote?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this Proxy Statement, the Board of Directors is soliciting your vote for matters being submitted for stockholder approval at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2026 Annual Meeting.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Will anyone be compensated to solicit my vote?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cost of proxy solicitation, including the cost of preparing, assembling, printing, mailing and distributing these proxy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materials, will be paid by the Company. Our directors, officers and employees will not receive additional compensation for their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proxy solicitation efforts, but they may be reimbursed for out-of-pocket expenses in connection with any solicitation. We also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may reimburse custodians, nominees and fiduciaries for their expenses in sending proxies and proxy material to beneficial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owners of our stock.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Who may attend the Annual Meeting?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Only stockholders, their proxy holders and our invited guests may attend the Annual Meeting. For security reasons, we may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require photo identification for admission. If your shares are held in “street name” by a broker, bank or other nominee, please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bring a copy of the account statement reflecting your ownership of our common stock, so that we may verify your stockholder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status.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What if I have a disability?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 are disabled and would like to participate in the Annual Meeting, we can provide reasonable assistance. Please send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any request for assistance to Prestige Consumer Healthcare Inc., 660 White Plains Road, Tarrytown, New York 10591,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Attention: Corporate Secretary, at least two weeks before the meeting.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Information About the Annual Meeting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What is Prestige Consumer Healthcare and where is it located?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Prestige Consumer Healthcare Inc. is a holding company incorporated under the laws of the State of Delaware that, through its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wholly owned subsidiaries, markets and distributes well-recognized, brand name over-the-counter healthcare products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throughout the U.S. and Canada, and in certain international markets. Major brands include Breathe Right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®,</w:t>
      </w:r>
      <w:r>
        <w:rPr>
          <w:caps w:val="false"/>
          <w:smallCaps w:val="false"/>
        </w:rPr>
        <w:t xml:space="preserve"> 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Monistat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Nix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,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Chloraseptic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Clear Eyes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Compound W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DenTek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Luden’s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Dramamine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BC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Goody’s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TheraTears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Debrox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Fleet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,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Summer’s Eve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Boudreaux’s Butt Paste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Hydralyte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Fess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, as well as Gaviscon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2"/>
        </w:rPr>
        <w:t>®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Canada. Our principal executive offices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are located at 660 White Plains Road, Tarrytown, New York 10591. Our telephone number is (800) 831-7105.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Where is our common stock traded?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common stock is traded and quoted on the NYSE under the symbol “PBH.”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Voting Matters</w:t>
      </w:r>
      <w:bookmarkStart w:id="384" w:name="i62aebfebee754a08b806b2b8b8121689_10883"/>
      <w:bookmarkEnd w:id="384"/>
    </w:p>
    <w:tbl>
      <w:tblPr>
        <w:tblW w:w="101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6"/>
        <w:gridCol w:w="3812"/>
        <w:gridCol w:w="3598"/>
        <w:gridCol w:w="1516"/>
        <w:gridCol w:w="826"/>
        <w:gridCol w:w="154"/>
      </w:tblGrid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38" w:type="dxa"/>
            <w:gridSpan w:val="2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Proposal</w:t>
            </w:r>
          </w:p>
        </w:tc>
        <w:tc>
          <w:tcPr>
            <w:tcW w:w="3598" w:type="dxa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 xml:space="preserve">Board’s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Recommendation</w:t>
            </w:r>
          </w:p>
        </w:tc>
        <w:tc>
          <w:tcPr>
            <w:tcW w:w="826" w:type="dxa"/>
            <w:vMerge w:val="restart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See Page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38" w:type="dxa"/>
            <w:gridSpan w:val="2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98" w:type="dxa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26" w:type="dxa"/>
            <w:vMerge w:val="continue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2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98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1</w:t>
            </w:r>
          </w:p>
        </w:tc>
        <w:tc>
          <w:tcPr>
            <w:tcW w:w="741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To elect the six directors nominated by the Board of Directors and named in this Proxy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Statement to serve until the 2027 Annual Meeting of Stockholders or until their earlier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death, removal or resignation</w:t>
            </w:r>
          </w:p>
        </w:tc>
        <w:tc>
          <w:tcPr>
            <w:tcW w:w="151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aps w:val="false"/>
                <w:smallCaps w:val="false"/>
              </w:rPr>
              <w:t xml:space="preserve"> 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FOR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each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57" name="Image3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7" name="Image3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5" w:name="i-357"/>
            <w:bookmarkEnd w:id="385"/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director nominee</w:t>
            </w:r>
          </w:p>
        </w:tc>
        <w:tc>
          <w:tcPr>
            <w:tcW w:w="82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b93d044691e741419dce32abb828e2a4_5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14</w:t>
              </w:r>
            </w:hyperlink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Ronald M. Lombardi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John E. Byom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Celeste A. Clark</w:t>
            </w:r>
          </w:p>
        </w:tc>
        <w:tc>
          <w:tcPr>
            <w:tcW w:w="359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James C. D’Arecca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John F. Kelly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A6192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Dawn M. Zier </w:t>
            </w:r>
          </w:p>
        </w:tc>
        <w:tc>
          <w:tcPr>
            <w:tcW w:w="151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2</w:t>
            </w:r>
          </w:p>
        </w:tc>
        <w:tc>
          <w:tcPr>
            <w:tcW w:w="7410" w:type="dxa"/>
            <w:gridSpan w:val="2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To vote on a non-binding resolution to approve the compensation of our named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officers as disclosed in our Proxy Statement</w:t>
            </w:r>
          </w:p>
        </w:tc>
        <w:tc>
          <w:tcPr>
            <w:tcW w:w="15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 xml:space="preserve"> 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FOR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58" name="Image3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Image3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6" w:name="i-358"/>
            <w:bookmarkEnd w:id="386"/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b93d044691e741419dce32abb828e2a4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40</w:t>
              </w:r>
            </w:hyperlink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2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98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3</w:t>
            </w:r>
          </w:p>
        </w:tc>
        <w:tc>
          <w:tcPr>
            <w:tcW w:w="741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To ratify the appointment of PricewaterhouseCoopers LLP as the independent registered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public accounting firm of Prestige Consumer Healthcare Inc. for the fiscal year ending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March 31, 2027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 xml:space="preserve"> 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FOR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59" name="Image3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" name="Image3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7" w:name="i-359"/>
            <w:bookmarkEnd w:id="387"/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b93d044691e741419dce32abb828e2a4_12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68</w:t>
              </w:r>
            </w:hyperlink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2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98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Who is entitled to vote?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You may vote if you owned shares of our common stock at the close of business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June 10,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2026. Each share of common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stock is entitled to one vote. As of June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10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, 2026, there 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  <w:shd w:fill="FFFFFF" w:val="clear"/>
        </w:rPr>
        <w:t>47,372,166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shares of our common stock outstanding. A list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stockholders will be open to the examination of any stockholder, for any purpose relevant to the meeting, at our headquarters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during ordinary business hours for a period of 10 days prior to the Annual Meeting and at the Annual Meeting.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May other matters be raised at the Annual Meeting?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currently are not aware of any business to be acted upon at the Annual Meeting other than the matters described above.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Under federal securities laws, Delaware law and our governing documents, no other business aside from procedural matters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may be raised at the Annual Meeting unless proper notice has been given to the Company by the stockholders. If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business is properly raised and you have returned a signed proxy card with or without voting instructions or have voted by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 internet or telephone, your proxies have authority to vote your shares as they think best on such business, including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adjourn the meeting.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How will the meeting be conducted?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Chair of the meeting has broad authority to conduct the Annual Meeting so that the business of the meeting is carried out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an orderly and timely manner. In doing so, he has broad discretion to establish reasonable rules for discussion, comments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questions during the Annual Meeting. The Chair of the Annual Meeting is also entitled to rely upon applicable law regarding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disruptions or disorderly conduct to ensure that the Annual Meeting proceeds in a manner that is fair to all participants.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77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Information About the Annual Meeting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How do I vote?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 own shares registered directly with the Company’s transfer agent, you may vote by the internet, or by signing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returning the enclosed proxy card. For more information about how to vote, please see the instructions on your proxy card.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your shares are held in “street name,” your bank or brokerage firm forwarded these proxy materials, as well as a voting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instruction card, to you. Please follow the instructions on the voting instruction card to vote your shares.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 addition to voting by proxy, you may vote in person at the Annual Meeting. Beneficial owners who hold shares in “street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name” and who wish to vote in person at the Annual Meeting must bring a power of attorney or legal proxy from their bank,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broker or other nominee. However, to assist us in tabulating votes at the Annual Meeting, we encourage you to vote by proxy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even if you plan to be present at the Annual Meeting. Even if you vote prior to the Annual Meeting, stockholders are entitled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attend the Annual Meeting. Please see “Who may attend the Annual Meeting?” above for instructions on attending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Annual Meeting.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What materials are available on the Internet?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This Proxy Statement, our Annual Report on Form 10-K, our 2026 Annual Report to Stockholders and other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documents are available free of charge at the “Investors” tab on our corporate website at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www.prestigeconsumerhealthcare.com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. The Proxy Statement and our Annual Report on Form 10-K also are available free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 charge on the SEC’s website at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www.sec.gov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How will my proxy be voted?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 are a registered stockholder, the individuals named on the proxy card will vote your shares in the manner you indicate 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your proxy card. You may vote for all, some or none of the director nominees. You may also abstain from voting. If your proxy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card is signed and returned but does not contain specific voting instructions, your shares will be voted “FOR” the election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directors named as nominees in this Proxy Statement, “FOR” the ratification of the appointment of our independent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registered public accounting firm, and “FOR” the approval of the compensation of our named executive officers as disclosed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this Proxy Statement. If any other matters are properly presented at the Annual Meeting for consideration, the persons named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as proxies on the enclosed proxy card will vote your shares on such matters as they think best in their own discretion.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your shares are held in “street name,” you have the right to direct your bank or brokerage firm how to vote your shares,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record holder is required to vote your shares in accordance with your instructions. If you do not give instructions to your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bank or brokerage firm, it will nevertheless be entitled to vote your shares with respect to “routine” items, but it will not be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permitted to vote your shares with respect to “non-routine” items. In the case of a non- routine item, your shares will be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considered “broker non-votes” on that proposal.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Can I change my vote or revoke my proxy after I vote?</w:t>
      </w:r>
      <w:bookmarkStart w:id="388" w:name="i62aebfebee754a08b806b2b8b8121689_10884"/>
      <w:bookmarkEnd w:id="388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Yes. If you are a registered stockholder, to change your vote or revoke your proxy you must: cast a new vote by the internet 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telephone prior to 11:59 p.m., Eastern Daylight Time, on August 3, 2026; by signing another proxy card with a date later then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date of the latest proxy card you submitted and returning it to Vote Processing, c/o Broadridge, 51 Mercedes Way,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Edgewood, NY 11717, by 5:00 p.m., Eastern Daylight Time, on August 3, 2026; provide a written notice of revocation dated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later than the date of the latest proxy card you submitted to Vote Processing, c/o Broadridge, 51 Mercedes Way, Edgewood,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NY 11717, by 5:00 p.m., Eastern Daylight Time, on August 3, 2026; or attend the Annual Meeting and vote in person. Note that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attendance at the Annual Meeting will not revoke a proxy if you do not actually vote at the Annual Meeting. “Street name”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stockholders should refer to the instructions above under “How do I vote?” to vote at the Annual Meeting.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 hold your shares in “street name,” the above options for changing your vote or revoking your instructions (other than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attending the Annual Meeting and voting in person) do not apply, and you must follow the instructions received from your bank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or broker to change your vote or revoke your proxy.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What if I receive more than one copy of these proxy materials?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receipt of multiple copies of these proxy materials means that you have more than one account with brokers or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transfer agent. Please vote all of your shares. We also recommend that you contact your broker and/or our transfer agent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consolidate as many accounts as possible under the same name and address. Our transfer agent is Equiniti Trust Company,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LLC, 28 Liberty Street, Floor 53, New York, NY 10005 and they can be reached at (718) 921-8300. In addition, any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stockholders who share an address and are receiving multiple copies of our proxy material can request delivery of a single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copy of our proxy materials by sending a written request addressed to Prestige Consumer Healthcare Inc., 660 White Plains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Road, Tarrytown, New York 10591, Attention: Corporate Secretary.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Information About the Annual Meeting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How many shares must be present to hold the Annual Meeting?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 quorum must be present at the Annual Meeting for any business to be conducted. A quorum exists when the holders of a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majority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  <w:shd w:fill="FFFFFF" w:val="clear"/>
        </w:rPr>
        <w:t>47,372,166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shares of our common stock outstanding at the close of business on June 10, 2026 and entitled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vote at the Annual Meeting are present in person or by proxy at the Annual Meeting. The shares represented by withhold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votes, abstentions and “broker non-votes” regarding proposals in the Proxy Statement will be considered present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quorum purposes.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How many votes are required to approve each proposal in the Proxy Statement?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Election of Directors.</w:t>
      </w:r>
      <w:r>
        <w:rPr/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 plurality of the votes of shares present, in person or represented by proxy, at the Annual Meeting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entitled to vote in the election of directors is necessary for the election of directors. This means that the six director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nominees receiving the greatest number of “For” votes will be elected. You may vote in favor of all nominees, withhold your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vote as to all nominees or withhold your vote as to specific nominees. If you withhold your vote as to all or specific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nominees, your shares will not be voted with respect to the nominee or nominees indicated.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Approval of Compensation of our Named Executive Officers.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approval of the non-binding resolution to approve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 compensation of our named executive officers requires the affirmative vote of a majority of the shares present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voting, in person or represented by proxy, and entitled to vote on the proposal. Abstentions will be counted against this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matter. If the proposal is not approved by the required majority vote, the Board of Directors and the Compensation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Talent Management Committee will take into account the result of the vote when determining future executive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arrangements, particularly if the votes cast against the resolution exceed the number of votes cast in favor of the resolution.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 xml:space="preserve">Ratification of Appointment of PricewaterhouseCoopers LLP as our Independent Registered Public Accounting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Firm.</w:t>
      </w:r>
      <w:r>
        <w:rPr>
          <w:caps w:val="false"/>
          <w:smallCaps w:val="false"/>
          <w:strike w:val="false"/>
          <w:dstrike w:val="false"/>
          <w:color w:val="1B365D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ratification of the appointment of PricewaterhouseCoopers LLP as our independent registered public accounting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firm requires the affirmative vote of a majority of the shares present and voting, in person or represented by proxy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entitled to vote on the proposal. Abstentions will be counted against this matter.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What is the effect of not voting?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 are a stockholder of record and submit a signed proxy without specifying a choice on any given matter to be considered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at the Annual Meeting, the proxy holders will vote your shares according to the Board’s recommendation on each matter. If you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are a stockholder of record and you do not sign and return a proxy card or vote by the internet or telephone, your shares will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not count toward the quorum requirement or towards any proposal at the Annual Meeting and will not have any affect on any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proposal at the Annual Meeting (unless a quorum is not established).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If you hold shares in “street name”, then, under NYSE rules and Delaware law: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Election of Directors.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With respect to the election of directors, your broker is not entitled to vote your shares on this matter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your broker does not receive instructions from you. A broker non-vote is not considered a vote and, therefore, it will have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no effect on the election of directors.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Approval of Compensation of our Named Executive Officers.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With respect to the advisory vote on the compensation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named executive officers, your broker is not entitled to vote your shares on this matter if your broker does not receive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instructions from you. Broker non-votes will have no effect on the outcome of this matter.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 xml:space="preserve">Ratification of Appointment of PricewaterhouseCoopers LLP as our Independent Registered Public Accounting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Firm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.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With respect to ratification of the appointment of our independent registered accounting firm, your broker is entitled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to vote your shares on this matter if no instructions are received from you, so there will be no broker non-votes 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this proposal.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How many votes do I have, and can I cumulate my votes?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You have one vote for every share of our common stock that you own. Cumulative voting is not allowed.</w:t>
      </w:r>
    </w:p>
    <w:tbl>
      <w:tblPr>
        <w:tblW w:w="1001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973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" w:space="0" w:color="1B365D"/>
              <w:left w:val="single" w:sz="4" w:space="0" w:color="1B365D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6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4" w:space="0" w:color="1B365D"/>
              <w:right w:val="single" w:sz="4" w:space="0" w:color="1B365D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 order to support your Board, please sign, date and mail the enclosed proxy card to vote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election of the six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director nominees nominated by your Board,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approval of the compensation of our named executive officers,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8"/>
                <w:u w:val="none"/>
                <w:effect w:val="none"/>
              </w:rPr>
              <w:t>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ratification of PricewaterhouseCoopers LLP as the Company’s independent registered public accounting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firm. You may also vote over the internet or by telephone using the information on the proxy card. If your shares are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held in “street name”, you should follow the instructions on your voting instruction card to provide specific instructions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to your bank or broker to vote as described above.</w:t>
            </w:r>
          </w:p>
        </w:tc>
        <w:tc>
          <w:tcPr>
            <w:tcW w:w="154" w:type="dxa"/>
            <w:tcBorders>
              <w:right w:val="single" w:sz="4" w:space="0" w:color="1B365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4" w:space="0" w:color="1B365D"/>
              <w:bottom w:val="single" w:sz="4" w:space="0" w:color="1B365D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6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4" w:space="0" w:color="1B365D"/>
              <w:right w:val="single" w:sz="4" w:space="0" w:color="1B365D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79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OTHER MATTERS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Certain Relationships and Related Transactions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No person or entity had significant business relationships with us since the beginning of fiscal 2026 that would require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disclosure under applicable SEC regulations, and no transactions that would need to be disclosed under SEC regulations are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currently planned for fiscal 2027.</w:t>
      </w:r>
    </w:p>
    <w:p>
      <w:pPr>
        <w:pStyle w:val="TextBody"/>
        <w:bidi w:val="0"/>
        <w:spacing w:lineRule="atLeast" w:line="3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34"/>
          <w:u w:val="none"/>
          <w:effect w:val="none"/>
        </w:rPr>
        <w:t>Related Persons Transaction Policy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Company adopted a Related Persons Transaction Policy. A summary of the Related Persons Transaction Policy is set forth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below and the full text of the Policy is available at the “Investors” tab on our website at 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www.prestigeconsumerhealthcare.com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Transactions Subject to the Policy.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 Related Person Transaction is a transaction in which the Company (which,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purposes of determining whether a transaction qualifies, includes the Company’s subsidiaries) is or will be a Participant (as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defined below), involving an amount exceeding $120,000, and in which any Related Person (as defined below) had or will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have a direct or indirect material interest. The term “Participant” is broadly defined to include situations in which the Company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is not technically a party but has influenced another party to enter into a transaction or provide value to a Related Person.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example, facilitating the use of a Related Person as a supplier to the Company’s contract manufacturer would constitute 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participation” by the Company and bring such an arrangement within the scope of the Policy.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The following transactions are exempt from the Policy: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Payment of compensation by the Company to a Related Person for service to the Company in the capacity or capacities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that give rise to the person’s status as a Related Person, so long as the compensation is publicly disclosed, if such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disclosure is required, in the Company’s Annual Report on Form 10-K (or Proxy Statement or information statement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incorporated by reference into such Annual Report);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Transactions available to all employees or all stockholders of the Company on the same terms and conditions;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Transactions that, when aggregated with the amount of all other transactions between the Related Person and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Company, involve less than $120,000 in a fiscal year.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Definition of Related Person.</w:t>
      </w:r>
      <w:r>
        <w:rPr/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For purposes of the Policy, a “Related Person” means: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Any person who is, or at any time since the beginning of the Company’s most recently completed fiscal year was, a director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executive officer of the Company or a nominee to become a director of the Company;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person who is known to be the beneficial owner of more than 5% of any class of the Company’s voting securities;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Immediate Family Member (as defined in the Policy) of any of the foregoing persons; and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A6192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Affiliate (as defined in the Policy) of any of the foregoing persons or Immediate Family Members.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Notification Procedures.</w:t>
      </w:r>
      <w:r>
        <w:rPr>
          <w:strike w:val="false"/>
          <w:dstrike w:val="false"/>
          <w:color w:val="1B365D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 transaction with a Related Person that is identified in advance is required to be disclosed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Company’s General Counsel for review. In the event the Company becomes aware of a transaction with a Related Person that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was not disclosed to the Company, the General Counsel will review the transaction. If the General Counsel determines that a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transaction is a Related Person Transaction subject to the Policy, he will submit such transaction to the Audit and Finance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Committee for consideration at its next meeting or, if it is not practicable or desirable to wait until the next meeting, to the Chair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 the Audit and Finance Committee for prompt consideration. The Audit and Finance Committee, or the Chair of the Audit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Finance Committee, is authorized to approve those Related Person Transactions that are in, or are not inconsistent with,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best interests of the Company and its stockholders, and that are consistent with the Company’s Code of Conduct and Ethics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and Code of Ethics for Senior Financial Employees, as the Audit and Finance Committee or the Chair of the Audit and Finance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Committee determines in good faith. The Audit and Finance Committee or the Chair of the Audit and Finance Committee will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consider the relevant facts and circumstances of the Related Person Transaction, including (if applicable) the non-exclusive list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 considerations set forth in the Related Persons Transaction Policy. Any ongoing or completed Related Person Transaction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that is disapproved by the Audit and Finance Committee or the Chair of the Audit and Finance Committee is subject to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corrective action.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80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Other Matters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 xml:space="preserve">Submission of Stockholder Proposals and </w:t>
      </w: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Director Nominations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How do I submit a stockholder proposal for inclusion in the Proxy Statement for next year’s Annual Meeting?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be included in our Proxy Statement for our 2027 Annual Meeting of Stockholders pursuant to SEC Rule 14a-8, a proposal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must be submitted by an eligible stockholder who complies with SEC Rule 14a-8 and must be received by us at our principal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executive offices at 660 White Plains Road, Tarrytown, New York 10591, Attention: Corporate Secretary, by March 1, 2027 (or,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if the 2026 Annual Meeting of Stockholders is called for a date more than 30 days before or after August 4, 2027, within a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reasonable time before we begin to print and mail our proxy materials for the 2027 Annual Meeting).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 xml:space="preserve">When and how must I submit a notice to introduce a director nomination or other item of business for it to be raised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at the 2027 Annual Meeting of Stockholders, but not included in the Company’s Proxy Statement?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Assuming that our 2027 Annual Meeting of Stockholders is not held more than 30 days prior to or delayed by more than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60 days after August 4, 2027, our Amended and Restated Bylaws provide that we must receive written notice of your intention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to introduce a director nomination or other item of business at the 2027 Annual Meeting not less than 90 nor more than 120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days prior to August 4, 2027 (or between April 6, 2027 and May 6, 2027). If the 2027 Annual Meeting is held more than 30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days prior to or delayed by more than 60 days after August 4, 2027, our Amended and Restated Bylaws provide that we must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receive your notice not earlier than the close of business on the 120th day prior to the date of such annual meeting and not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later than the close of business on the later of (i) the 90th day prior to such annual meeting or (ii) the 10th day following the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date on which public disclosure of such meeting was made. In the event a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 xml:space="preserve">special stockholders meeting to elect directors is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 xml:space="preserve">called, our Amended and Restated Bylaws provide that we must receive your notice not later than the close of business on the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10th day following the date on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which public disclosure of such meeting was made. If we do not receive notice within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prescribed dates, or you do not meet other requirements specified in our Amended and Restated Bylaws or the SEC’s rules,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such matters will not be brought before the meeting. In addition, nominations or proposals not made in accordance with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procedures described in our Amended and Restated Bylaws may be disregarded by the Chair of the meeting. Any stockholder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interested in making such a nomination or proposal should request a copy of our Amended and Restated Bylaws from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Corporate Secretary.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Any written stockholder proposal or nomination for director to be presented at a meeting of our stockholders must comply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procedures and such other requirements as may be imposed by our Amended and Restated Bylaws, Delaware law,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NYSE, the Exchange Act (including the information required by Rule 14a-19(b) including a statement that the nominating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stockholder intends to solicit the holders of shares representing at least 67% of the voting power of shares entitled to vote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election of directors in support of the nominee), and the rules and regulations of the SEC and must include the information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necessary for the Board of Directors to determine whether the candidate (with respect to a nomination for director only)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qualifies as independent under the NYSE’s and SEC’s rules and possesses the qualifications and experience we expect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to have.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Form 10-K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will furnish without charge to each person whose proxy is being solicited, upon written request of any such person, a copy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 our Annual Report on Form 10-K for the fiscal year ended March 31, 2026, as filed with the SEC, including the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statements and financial statement schedule thereto. Written requests for copies of our Annual Report on Form 10-K for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fiscal year ended March 31, 2026 should be directed to Prestige Consumer Healthcare Inc., 660 White Plains Road,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Tarrytown, New York 10591, Attention: Corporate Secretary. Our Annual Report on Form 10-K for the fiscal year ended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March 31, 2026 can also be downloaded without charge from the “Investors” tab of our website at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A6192E"/>
          <w:sz w:val="18"/>
          <w:u w:val="single"/>
        </w:rPr>
        <w:t>www.prestigeconsumerhealthcare.com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81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Other Matters</w:t>
      </w:r>
    </w:p>
    <w:tbl>
      <w:tblPr>
        <w:tblW w:w="53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526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By Order of the Board of Directors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43000" cy="605790"/>
                  <wp:effectExtent l="0" t="0" r="0" b="0"/>
                  <wp:docPr id="360" name="Image3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" name="Image3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9" w:name="i-360"/>
            <w:bookmarkEnd w:id="389"/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A6192E"/>
                <w:sz w:val="18"/>
                <w:u w:val="none"/>
                <w:effect w:val="none"/>
              </w:rPr>
              <w:t>William C. P’Pool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Senior Vice President, General Counsel &amp; Corporate Secretary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June 29, 2026</w:t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82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5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58"/>
          <w:u w:val="none"/>
          <w:effect w:val="none"/>
        </w:rPr>
        <w:t>APPENDIX A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0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40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About Non-GAAP Financial Measures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are presenting Adjusted EBITDA because it is a metric included in our Annual Cash Incentive Plan (“AIP”) against which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our performance is measured. We define Non-GAAP AIP Adjusted EBITDA as GAAP net income (loss), plus interest expense,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provision for taxes, and depreciation and amortization, with additional adjustments for integration, transition, purchase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accounting, legal and various other costs associated with acquisitions, divestitures and business transitions, goodwill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tradename impairment loss on disposal of assets and extinguishment of debt.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We define Non-GAAP Adjusted Net Income as GAAP Net Income before amortization of inventory fair value step-up,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depreciation of idle manufacturing assets during remediation period, acquired facility remediation, period overhead and idle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capacity costs, supplier loan write-off, costs associated with acquisition in General and administrative expense, goodwill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tradename impairment, applicable tax impact associated with these items and normalized tax rate adjustment. Reported GAAP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Diluted EPS is calculated using diluted shares outstanding, which were 48,720 for the year ended March 31, 2026 and 50,080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for the year ended March 31,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following tables set forth the reconciliation of Organic Revenue, Adjusted EBITDA, Adjusted Net Income, Adjusted Diluted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EPS and Adjusted Free Cash Flow, which are non-GAAP financial measures, to our most directly comparable GAAP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measure. The tables also reconcile Non-GAAP Adjusted EBITDA to GAAP Net Income used for our May 2023 Performance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 Payout.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ORGANIC REVENUE AND ORGANIC REVENUE CHANGE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(Dollar Values in Thousands)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8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26"/>
        <w:gridCol w:w="109"/>
        <w:gridCol w:w="1036"/>
        <w:gridCol w:w="109"/>
        <w:gridCol w:w="1081"/>
      </w:tblGrid>
      <w:tr>
        <w:trPr/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35" w:type="dxa"/>
            <w:gridSpan w:val="4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Year Ended March 31,</w:t>
            </w:r>
          </w:p>
        </w:tc>
      </w:tr>
      <w:tr>
        <w:trPr/>
        <w:tc>
          <w:tcPr>
            <w:tcW w:w="352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52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GAAP Total Revenues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$1,088,705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$1,137,762</w:t>
            </w:r>
          </w:p>
        </w:tc>
      </w:tr>
      <w:tr>
        <w:trPr/>
        <w:tc>
          <w:tcPr>
            <w:tcW w:w="3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 Change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(4.3)%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Adjustments: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Impact of foreign currency exchange rates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2,718</w:t>
            </w:r>
          </w:p>
        </w:tc>
      </w:tr>
      <w:tr>
        <w:trPr/>
        <w:tc>
          <w:tcPr>
            <w:tcW w:w="352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adjustments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2,718</w:t>
            </w:r>
          </w:p>
        </w:tc>
      </w:tr>
      <w:tr>
        <w:trPr/>
        <w:tc>
          <w:tcPr>
            <w:tcW w:w="3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Non-GAAP Organic Revenues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$1,088,705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$1,140,480</w:t>
            </w:r>
          </w:p>
        </w:tc>
      </w:tr>
      <w:tr>
        <w:trPr/>
        <w:tc>
          <w:tcPr>
            <w:tcW w:w="352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Non-GAAP Organic Revenue Change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(4.5)%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726"/>
        <w:gridCol w:w="109"/>
        <w:gridCol w:w="33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83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Appendix 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ADJUSTED EBITDA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(Dollar Values in Thousands)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78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06"/>
        <w:gridCol w:w="109"/>
        <w:gridCol w:w="886"/>
        <w:gridCol w:w="109"/>
        <w:gridCol w:w="931"/>
      </w:tblGrid>
      <w:tr>
        <w:trPr/>
        <w:tc>
          <w:tcPr>
            <w:tcW w:w="5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5" w:type="dxa"/>
            <w:gridSpan w:val="4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Year Ended March</w:t>
            </w: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31,</w:t>
            </w:r>
          </w:p>
        </w:tc>
      </w:tr>
      <w:tr>
        <w:trPr/>
        <w:tc>
          <w:tcPr>
            <w:tcW w:w="580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80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GAAP Net Income 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$190,301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$214,605</w:t>
            </w:r>
          </w:p>
        </w:tc>
      </w:tr>
      <w:tr>
        <w:trPr/>
        <w:tc>
          <w:tcPr>
            <w:tcW w:w="58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Expense, net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42,339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47,632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Provision for income taxes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67,195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69,584</w:t>
            </w:r>
          </w:p>
        </w:tc>
      </w:tr>
      <w:tr>
        <w:trPr/>
        <w:tc>
          <w:tcPr>
            <w:tcW w:w="58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31,273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30,173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Non-GAAP EBITDA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331,108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361,994</w:t>
            </w:r>
          </w:p>
        </w:tc>
      </w:tr>
      <w:tr>
        <w:trPr/>
        <w:tc>
          <w:tcPr>
            <w:tcW w:w="58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Amortization of inventory fair value step</w:t>
              <w:noBreakHyphen/>
              <w:t>up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Acquired facility remediation, period overhead and idle capacity costs 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8,402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8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Costs associated with acquisitions in G&amp;A 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3,228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8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Supplier loan write-off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10,332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80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Tradename impairment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12,466</w:t>
            </w:r>
          </w:p>
        </w:tc>
      </w:tr>
      <w:tr>
        <w:trPr/>
        <w:tc>
          <w:tcPr>
            <w:tcW w:w="5806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Non-GAAP Adjusted AIP EBITDA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$353,770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A6192E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$374,460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ADJUSTED NET INCOME AND ADJUSTED EPS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(Dollar Values in Thousands, Except Per Share Data)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7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71"/>
        <w:gridCol w:w="110"/>
        <w:gridCol w:w="895"/>
        <w:gridCol w:w="109"/>
        <w:gridCol w:w="571"/>
        <w:gridCol w:w="109"/>
        <w:gridCol w:w="110"/>
        <w:gridCol w:w="895"/>
        <w:gridCol w:w="109"/>
        <w:gridCol w:w="616"/>
      </w:tblGrid>
      <w:tr>
        <w:trPr/>
        <w:tc>
          <w:tcPr>
            <w:tcW w:w="6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4" w:type="dxa"/>
            <w:gridSpan w:val="8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Year Ended March</w:t>
            </w:r>
            <w:r>
              <w:rPr>
                <w:caps w:val="false"/>
                <w:smallCaps w:val="false"/>
                <w:strike w:val="false"/>
                <w:dstrike w:val="false"/>
                <w:color w:val="1B365D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31,</w:t>
            </w:r>
          </w:p>
        </w:tc>
      </w:tr>
      <w:tr>
        <w:trPr/>
        <w:tc>
          <w:tcPr>
            <w:tcW w:w="6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gridSpan w:val="4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4" w:space="0" w:color="1B365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0" w:type="dxa"/>
            <w:gridSpan w:val="4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271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5" w:type="dxa"/>
            <w:gridSpan w:val="2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Net Income</w:t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EPS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5" w:type="dxa"/>
            <w:gridSpan w:val="2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Net Income</w:t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EPS</w:t>
            </w:r>
          </w:p>
        </w:tc>
      </w:tr>
      <w:tr>
        <w:trPr/>
        <w:tc>
          <w:tcPr>
            <w:tcW w:w="627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GAAP Net Income (Loss)</w:t>
            </w:r>
          </w:p>
        </w:tc>
        <w:tc>
          <w:tcPr>
            <w:tcW w:w="110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$190,301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$3.91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$214,605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4" w:space="0" w:color="A6192E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$4.29</w:t>
            </w:r>
          </w:p>
        </w:tc>
      </w:tr>
      <w:tr>
        <w:trPr/>
        <w:tc>
          <w:tcPr>
            <w:tcW w:w="62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Adjustments</w:t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2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Amortization of inventory fair value step</w:t>
              <w:noBreakHyphen/>
              <w:t>up</w:t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0.01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</w:tr>
      <w:tr>
        <w:trPr/>
        <w:tc>
          <w:tcPr>
            <w:tcW w:w="62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Depreciation of idle manufacturing assets during remediation period </w:t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0.01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</w:tr>
      <w:tr>
        <w:trPr/>
        <w:tc>
          <w:tcPr>
            <w:tcW w:w="62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Acquired facility remediation, period overhead and idle capacity costs </w:t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8,402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</w:tr>
      <w:tr>
        <w:trPr/>
        <w:tc>
          <w:tcPr>
            <w:tcW w:w="62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Supplier loan write-off</w:t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10,332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0.21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</w:tr>
      <w:tr>
        <w:trPr/>
        <w:tc>
          <w:tcPr>
            <w:tcW w:w="62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Costs associated with acquisition in General and administrative expense (c)</w:t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3,228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0.07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</w:tr>
      <w:tr>
        <w:trPr/>
        <w:tc>
          <w:tcPr>
            <w:tcW w:w="62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Goodwill and Tradename Impairment</w:t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12,466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0.25</w:t>
            </w:r>
          </w:p>
        </w:tc>
      </w:tr>
      <w:tr>
        <w:trPr/>
        <w:tc>
          <w:tcPr>
            <w:tcW w:w="62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Tax impact of adjustments</w:t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(5,659)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-0.12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(2,961)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-0.06</w:t>
            </w:r>
          </w:p>
        </w:tc>
      </w:tr>
      <w:tr>
        <w:trPr/>
        <w:tc>
          <w:tcPr>
            <w:tcW w:w="62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Normalized tax rate adjustment</w:t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5,430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0.11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2,236</w:t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0.04</w:t>
            </w:r>
          </w:p>
        </w:tc>
      </w:tr>
      <w:tr>
        <w:trPr/>
        <w:tc>
          <w:tcPr>
            <w:tcW w:w="62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adjustments</w:t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23,043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0.46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11,741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0.23</w:t>
            </w:r>
          </w:p>
        </w:tc>
      </w:tr>
      <w:tr>
        <w:trPr/>
        <w:tc>
          <w:tcPr>
            <w:tcW w:w="627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Non-GAAP Adjusted Net Income and Non-GAAP Adjusted EPS</w:t>
            </w:r>
          </w:p>
        </w:tc>
        <w:tc>
          <w:tcPr>
            <w:tcW w:w="110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213,344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4.38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226,346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4.52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Note: Amounts may not add due to rounding.</w:t>
      </w:r>
    </w:p>
    <w:tbl>
      <w:tblPr>
        <w:tblW w:w="50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109"/>
        <w:gridCol w:w="1726"/>
        <w:gridCol w:w="2881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84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 Proxy Statement</w:t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Prestige Consumer Healthcare Inc.</w:t>
            </w:r>
          </w:p>
        </w:tc>
      </w:tr>
      <w:tr>
        <w:trPr/>
        <w:tc>
          <w:tcPr>
            <w:tcW w:w="301" w:type="dxa"/>
            <w:tcBorders>
              <w:bottom w:val="single" w:sz="8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Appendix 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NON-GAAP ADJUSTED FREE CASH FLOW</w:t>
      </w:r>
    </w:p>
    <w:p>
      <w:pPr>
        <w:pStyle w:val="TextBody"/>
        <w:bidi w:val="0"/>
        <w:spacing w:lineRule="atLeast" w:line="180" w:before="0" w:after="0"/>
        <w:jc w:val="left"/>
        <w:rPr>
          <w:rFonts w:ascii="Univers LT 45 Light;sans-serif" w:hAnsi="Univers LT 45 Light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Univers LT 45 Light;sans-serif" w:hAnsi="Univers LT 45 Light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(In Thousands)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8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936"/>
        <w:gridCol w:w="886"/>
        <w:gridCol w:w="109"/>
        <w:gridCol w:w="946"/>
      </w:tblGrid>
      <w:tr>
        <w:trPr/>
        <w:tc>
          <w:tcPr>
            <w:tcW w:w="7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1" w:type="dxa"/>
            <w:gridSpan w:val="3"/>
            <w:tcBorders>
              <w:bottom w:val="single" w:sz="4" w:space="0" w:color="1B365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Year Ended March 31,</w:t>
            </w:r>
          </w:p>
        </w:tc>
      </w:tr>
      <w:tr>
        <w:trPr/>
        <w:tc>
          <w:tcPr>
            <w:tcW w:w="793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4" w:space="0" w:color="1B365D"/>
              <w:bottom w:val="single" w:sz="4" w:space="0" w:color="A6192E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793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GAAP Net Income</w:t>
            </w:r>
          </w:p>
        </w:tc>
        <w:tc>
          <w:tcPr>
            <w:tcW w:w="88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$190,301</w:t>
            </w:r>
          </w:p>
        </w:tc>
        <w:tc>
          <w:tcPr>
            <w:tcW w:w="109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$214,605</w:t>
            </w:r>
          </w:p>
        </w:tc>
      </w:tr>
      <w:tr>
        <w:trPr/>
        <w:tc>
          <w:tcPr>
            <w:tcW w:w="79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Adjustments:</w:t>
            </w:r>
          </w:p>
        </w:tc>
        <w:tc>
          <w:tcPr>
            <w:tcW w:w="88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Adjustments to reconcile net income (loss) to net cash provided by operating activities as shown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 the Statement of Cash Flows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84,949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$78,851</w:t>
            </w:r>
          </w:p>
        </w:tc>
      </w:tr>
      <w:tr>
        <w:trPr/>
        <w:tc>
          <w:tcPr>
            <w:tcW w:w="79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Changes in operating assets and liabilities as shown in the Statement of Cash Flows</w:t>
            </w:r>
          </w:p>
        </w:tc>
        <w:tc>
          <w:tcPr>
            <w:tcW w:w="886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(17,623)</w:t>
            </w:r>
          </w:p>
        </w:tc>
        <w:tc>
          <w:tcPr>
            <w:tcW w:w="109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4" w:space="0" w:color="1B365D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$(41,941)</w:t>
            </w:r>
          </w:p>
        </w:tc>
      </w:tr>
      <w:tr>
        <w:trPr/>
        <w:tc>
          <w:tcPr>
            <w:tcW w:w="79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adjustments</w:t>
            </w:r>
          </w:p>
        </w:tc>
        <w:tc>
          <w:tcPr>
            <w:tcW w:w="886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67,326</w:t>
            </w:r>
          </w:p>
        </w:tc>
        <w:tc>
          <w:tcPr>
            <w:tcW w:w="109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4" w:space="0" w:color="1B365D"/>
              <w:bottom w:val="single" w:sz="4" w:space="0" w:color="1B365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$36,910</w:t>
            </w:r>
          </w:p>
        </w:tc>
      </w:tr>
      <w:tr>
        <w:trPr/>
        <w:tc>
          <w:tcPr>
            <w:tcW w:w="793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GAAP Net cash provided by operating activities</w:t>
            </w:r>
          </w:p>
        </w:tc>
        <w:tc>
          <w:tcPr>
            <w:tcW w:w="886" w:type="dxa"/>
            <w:tcBorders>
              <w:top w:val="single" w:sz="4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$257,627</w:t>
            </w:r>
          </w:p>
        </w:tc>
        <w:tc>
          <w:tcPr>
            <w:tcW w:w="109" w:type="dxa"/>
            <w:tcBorders>
              <w:top w:val="single" w:sz="4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4" w:space="0" w:color="1B365D"/>
            </w:tcBorders>
            <w:shd w:fill="EDEFF2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$251,515</w:t>
            </w:r>
          </w:p>
        </w:tc>
      </w:tr>
      <w:tr>
        <w:trPr/>
        <w:tc>
          <w:tcPr>
            <w:tcW w:w="79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Purchase of property and equipment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(11,178)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$(8,224)</w:t>
            </w:r>
          </w:p>
        </w:tc>
      </w:tr>
      <w:tr>
        <w:trPr/>
        <w:tc>
          <w:tcPr>
            <w:tcW w:w="793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Non-GAAP Adjusted Free Cash Flow</w:t>
            </w:r>
          </w:p>
        </w:tc>
        <w:tc>
          <w:tcPr>
            <w:tcW w:w="88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$246,449</w:t>
            </w:r>
          </w:p>
        </w:tc>
        <w:tc>
          <w:tcPr>
            <w:tcW w:w="109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$243,291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B365D"/>
          <w:sz w:val="20"/>
          <w:u w:val="none"/>
          <w:effect w:val="none"/>
        </w:rPr>
        <w:t>MAY 2023 PERFORMANCE SHARE GRANT TOTAL REVENUE AND ADJUSTED EBITDA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B365D"/>
          <w:sz w:val="18"/>
          <w:u w:val="none"/>
          <w:effect w:val="none"/>
        </w:rPr>
        <w:t>(Dollar Values in Millions)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A6192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89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96"/>
        <w:gridCol w:w="203"/>
        <w:gridCol w:w="1627"/>
      </w:tblGrid>
      <w:tr>
        <w:trPr/>
        <w:tc>
          <w:tcPr>
            <w:tcW w:w="7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96" w:type="dxa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0" w:type="dxa"/>
            <w:gridSpan w:val="2"/>
            <w:tcBorders>
              <w:bottom w:val="single" w:sz="4" w:space="0" w:color="A6192E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B365D"/>
                <w:sz w:val="16"/>
                <w:u w:val="none"/>
                <w:effect w:val="none"/>
              </w:rPr>
              <w:t>FY 2024 to 2026 Total</w:t>
            </w:r>
          </w:p>
        </w:tc>
      </w:tr>
      <w:tr>
        <w:trPr/>
        <w:tc>
          <w:tcPr>
            <w:tcW w:w="7096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GAAP Total Revenues</w:t>
            </w:r>
          </w:p>
        </w:tc>
        <w:tc>
          <w:tcPr>
            <w:tcW w:w="203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>
              <w:top w:val="single" w:sz="4" w:space="0" w:color="A6192E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$3,351.8</w:t>
            </w:r>
          </w:p>
        </w:tc>
      </w:tr>
      <w:tr>
        <w:trPr/>
        <w:tc>
          <w:tcPr>
            <w:tcW w:w="7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GAAP Net Income</w:t>
            </w:r>
          </w:p>
        </w:tc>
        <w:tc>
          <w:tcPr>
            <w:tcW w:w="20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$614.2</w:t>
            </w:r>
          </w:p>
        </w:tc>
      </w:tr>
      <w:tr>
        <w:trPr/>
        <w:tc>
          <w:tcPr>
            <w:tcW w:w="7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expense, net</w:t>
            </w:r>
          </w:p>
        </w:tc>
        <w:tc>
          <w:tcPr>
            <w:tcW w:w="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157.1</w:t>
            </w:r>
          </w:p>
        </w:tc>
      </w:tr>
      <w:tr>
        <w:trPr/>
        <w:tc>
          <w:tcPr>
            <w:tcW w:w="7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Provision for income taxes</w:t>
            </w:r>
          </w:p>
        </w:tc>
        <w:tc>
          <w:tcPr>
            <w:tcW w:w="20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203.5</w:t>
            </w:r>
          </w:p>
        </w:tc>
      </w:tr>
      <w:tr>
        <w:trPr/>
        <w:tc>
          <w:tcPr>
            <w:tcW w:w="7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&amp; amortization</w:t>
            </w:r>
          </w:p>
        </w:tc>
        <w:tc>
          <w:tcPr>
            <w:tcW w:w="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92.1</w:t>
            </w:r>
          </w:p>
        </w:tc>
      </w:tr>
      <w:tr>
        <w:trPr/>
        <w:tc>
          <w:tcPr>
            <w:tcW w:w="7096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Non-GAAP EBITDA</w:t>
            </w:r>
          </w:p>
        </w:tc>
        <w:tc>
          <w:tcPr>
            <w:tcW w:w="203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shd w:fill="EDEFF2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$1,067.0</w:t>
            </w:r>
          </w:p>
        </w:tc>
      </w:tr>
      <w:tr>
        <w:trPr/>
        <w:tc>
          <w:tcPr>
            <w:tcW w:w="7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Amortization of inventory fair value step up</w:t>
            </w:r>
          </w:p>
        </w:tc>
        <w:tc>
          <w:tcPr>
            <w:tcW w:w="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0.7</w:t>
            </w:r>
          </w:p>
        </w:tc>
      </w:tr>
      <w:tr>
        <w:trPr/>
        <w:tc>
          <w:tcPr>
            <w:tcW w:w="7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Acquired facility remediation, period overhead and idle capacity costs</w:t>
            </w:r>
          </w:p>
        </w:tc>
        <w:tc>
          <w:tcPr>
            <w:tcW w:w="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8.4</w:t>
            </w:r>
          </w:p>
        </w:tc>
      </w:tr>
      <w:tr>
        <w:trPr/>
        <w:tc>
          <w:tcPr>
            <w:tcW w:w="7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Costs associated with acquisition in G&amp;A</w:t>
            </w:r>
          </w:p>
        </w:tc>
        <w:tc>
          <w:tcPr>
            <w:tcW w:w="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3.2</w:t>
            </w:r>
          </w:p>
        </w:tc>
      </w:tr>
      <w:tr>
        <w:trPr/>
        <w:tc>
          <w:tcPr>
            <w:tcW w:w="7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Supplier loan write-off</w:t>
            </w:r>
          </w:p>
        </w:tc>
        <w:tc>
          <w:tcPr>
            <w:tcW w:w="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10.3</w:t>
            </w:r>
          </w:p>
        </w:tc>
      </w:tr>
      <w:tr>
        <w:trPr/>
        <w:tc>
          <w:tcPr>
            <w:tcW w:w="70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Tradename impairment</w:t>
            </w:r>
          </w:p>
        </w:tc>
        <w:tc>
          <w:tcPr>
            <w:tcW w:w="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12.5</w:t>
            </w:r>
          </w:p>
        </w:tc>
      </w:tr>
      <w:tr>
        <w:trPr/>
        <w:tc>
          <w:tcPr>
            <w:tcW w:w="7096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Adjustments to EBITDA</w:t>
            </w:r>
          </w:p>
        </w:tc>
        <w:tc>
          <w:tcPr>
            <w:tcW w:w="203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>
              <w:bottom w:val="single" w:sz="4" w:space="0" w:color="A6192E"/>
            </w:tcBorders>
            <w:shd w:fill="EDEFF2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$35.1</w:t>
            </w:r>
          </w:p>
        </w:tc>
      </w:tr>
      <w:tr>
        <w:trPr/>
        <w:tc>
          <w:tcPr>
            <w:tcW w:w="7096" w:type="dxa"/>
            <w:tcBorders>
              <w:top w:val="single" w:sz="4" w:space="0" w:color="A6192E"/>
              <w:bottom w:val="single" w:sz="4" w:space="0" w:color="A6192E"/>
            </w:tcBorders>
            <w:shd w:fill="EDEF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Non-GAAP Adjusted EBITDA used for May 2023 Performance Share Grant Payout</w:t>
            </w:r>
          </w:p>
        </w:tc>
        <w:tc>
          <w:tcPr>
            <w:tcW w:w="203" w:type="dxa"/>
            <w:tcBorders>
              <w:top w:val="single" w:sz="4" w:space="0" w:color="A6192E"/>
              <w:bottom w:val="single" w:sz="4" w:space="0" w:color="A6192E"/>
            </w:tcBorders>
            <w:shd w:fill="EDEF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7" w:type="dxa"/>
            <w:tcBorders>
              <w:top w:val="single" w:sz="4" w:space="0" w:color="A6192E"/>
              <w:bottom w:val="single" w:sz="4" w:space="0" w:color="A6192E"/>
            </w:tcBorders>
            <w:shd w:fill="EDEF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$1,102.2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8905" cy="2743200"/>
            <wp:effectExtent l="0" t="0" r="0" b="0"/>
            <wp:docPr id="361" name="Image3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" name="Image361" descr=""/>
                    <pic:cNvPicPr>
                      <a:picLocks noChangeAspect="1" noChangeArrowheads="1"/>
                    </pic:cNvPicPr>
                  </pic:nvPicPr>
                  <pic:blipFill>
                    <a:blip r:embed="rId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90" w:name="i-361"/>
      <w:bookmarkEnd w:id="390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8905" cy="2743200"/>
            <wp:effectExtent l="0" t="0" r="0" b="0"/>
            <wp:docPr id="362" name="Image3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362" descr=""/>
                    <pic:cNvPicPr>
                      <a:picLocks noChangeAspect="1" noChangeArrowheads="1"/>
                    </pic:cNvPicPr>
                  </pic:nvPicPr>
                  <pic:blipFill>
                    <a:blip r:embed="rId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91" w:name="i-362"/>
      <w:bookmarkEnd w:id="391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543800" cy="9829800"/>
            <wp:effectExtent l="0" t="0" r="0" b="0"/>
            <wp:docPr id="363" name="Image3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Image363" descr=""/>
                    <pic:cNvPicPr>
                      <a:picLocks noChangeAspect="1" noChangeArrowheads="1"/>
                    </pic:cNvPicPr>
                  </pic:nvPicPr>
                  <pic:blipFill>
                    <a:blip r:embed="rId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92" w:name="i-363"/>
      <w:bookmarkEnd w:id="392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543800" cy="9762490"/>
            <wp:effectExtent l="0" t="0" r="0" b="0"/>
            <wp:docPr id="364" name="Image3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364" descr=""/>
                    <pic:cNvPicPr>
                      <a:picLocks noChangeAspect="1" noChangeArrowheads="1"/>
                    </pic:cNvPicPr>
                  </pic:nvPicPr>
                  <pic:blipFill>
                    <a:blip r:embed="rId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6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93" w:name="i-364"/>
      <w:bookmarkEnd w:id="393"/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7543800" cy="9762490"/>
            <wp:effectExtent l="0" t="0" r="0" b="0"/>
            <wp:docPr id="365" name="Image3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Image365" descr=""/>
                    <pic:cNvPicPr>
                      <a:picLocks noChangeAspect="1" noChangeArrowheads="1"/>
                    </pic:cNvPicPr>
                  </pic:nvPicPr>
                  <pic:blipFill>
                    <a:blip r:embed="rId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6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94" w:name="i-365"/>
      <w:bookmarkEnd w:id="394"/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Univers LT 45 Light">
    <w:altName w:val="sans-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0.jpeg"/><Relationship Id="rId14" Type="http://schemas.openxmlformats.org/officeDocument/2006/relationships/image" Target="media/image12.jpeg"/><Relationship Id="rId15" Type="http://schemas.openxmlformats.org/officeDocument/2006/relationships/image" Target="media/image13.jpeg"/><Relationship Id="rId16" Type="http://schemas.openxmlformats.org/officeDocument/2006/relationships/image" Target="media/image14.jpeg"/><Relationship Id="rId17" Type="http://schemas.openxmlformats.org/officeDocument/2006/relationships/image" Target="media/image15.jpeg"/><Relationship Id="rId18" Type="http://schemas.openxmlformats.org/officeDocument/2006/relationships/image" Target="media/image16.jpeg"/><Relationship Id="rId19" Type="http://schemas.openxmlformats.org/officeDocument/2006/relationships/image" Target="media/image11.jpeg"/><Relationship Id="rId20" Type="http://schemas.openxmlformats.org/officeDocument/2006/relationships/image" Target="media/image11.jpeg"/><Relationship Id="rId21" Type="http://schemas.openxmlformats.org/officeDocument/2006/relationships/image" Target="media/image11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30" Type="http://schemas.openxmlformats.org/officeDocument/2006/relationships/image" Target="media/image25.jpeg"/><Relationship Id="rId31" Type="http://schemas.openxmlformats.org/officeDocument/2006/relationships/image" Target="media/image26.jpeg"/><Relationship Id="rId32" Type="http://schemas.openxmlformats.org/officeDocument/2006/relationships/image" Target="media/image27.jpeg"/><Relationship Id="rId33" Type="http://schemas.openxmlformats.org/officeDocument/2006/relationships/image" Target="media/image28.jpeg"/><Relationship Id="rId34" Type="http://schemas.openxmlformats.org/officeDocument/2006/relationships/image" Target="media/image29.jpeg"/><Relationship Id="rId35" Type="http://schemas.openxmlformats.org/officeDocument/2006/relationships/image" Target="media/image30.jpeg"/><Relationship Id="rId36" Type="http://schemas.openxmlformats.org/officeDocument/2006/relationships/image" Target="media/image31.jpeg"/><Relationship Id="rId37" Type="http://schemas.openxmlformats.org/officeDocument/2006/relationships/image" Target="media/image32.jpeg"/><Relationship Id="rId38" Type="http://schemas.openxmlformats.org/officeDocument/2006/relationships/image" Target="media/image33.jpeg"/><Relationship Id="rId39" Type="http://schemas.openxmlformats.org/officeDocument/2006/relationships/image" Target="media/image34.jpeg"/><Relationship Id="rId40" Type="http://schemas.openxmlformats.org/officeDocument/2006/relationships/image" Target="media/image35.jpeg"/><Relationship Id="rId41" Type="http://schemas.openxmlformats.org/officeDocument/2006/relationships/image" Target="media/image36.jpeg"/><Relationship Id="rId42" Type="http://schemas.openxmlformats.org/officeDocument/2006/relationships/image" Target="media/image37.gif"/><Relationship Id="rId43" Type="http://schemas.openxmlformats.org/officeDocument/2006/relationships/image" Target="media/image38.gif"/><Relationship Id="rId44" Type="http://schemas.openxmlformats.org/officeDocument/2006/relationships/image" Target="media/image39.gif"/><Relationship Id="rId45" Type="http://schemas.openxmlformats.org/officeDocument/2006/relationships/image" Target="media/image40.jpeg"/><Relationship Id="rId46" Type="http://schemas.openxmlformats.org/officeDocument/2006/relationships/image" Target="media/image41.jpeg"/><Relationship Id="rId47" Type="http://schemas.openxmlformats.org/officeDocument/2006/relationships/image" Target="media/image42.jpeg"/><Relationship Id="rId48" Type="http://schemas.openxmlformats.org/officeDocument/2006/relationships/image" Target="media/image11.jpeg"/><Relationship Id="rId49" Type="http://schemas.openxmlformats.org/officeDocument/2006/relationships/image" Target="media/image43.jpeg"/><Relationship Id="rId50" Type="http://schemas.openxmlformats.org/officeDocument/2006/relationships/image" Target="media/image44.jpeg"/><Relationship Id="rId51" Type="http://schemas.openxmlformats.org/officeDocument/2006/relationships/image" Target="media/image45.jpeg"/><Relationship Id="rId52" Type="http://schemas.openxmlformats.org/officeDocument/2006/relationships/image" Target="media/image11.jpeg"/><Relationship Id="rId53" Type="http://schemas.openxmlformats.org/officeDocument/2006/relationships/image" Target="media/image46.jpeg"/><Relationship Id="rId54" Type="http://schemas.openxmlformats.org/officeDocument/2006/relationships/image" Target="media/image44.jpeg"/><Relationship Id="rId55" Type="http://schemas.openxmlformats.org/officeDocument/2006/relationships/image" Target="media/image47.jpeg"/><Relationship Id="rId56" Type="http://schemas.openxmlformats.org/officeDocument/2006/relationships/image" Target="media/image44.jpeg"/><Relationship Id="rId57" Type="http://schemas.openxmlformats.org/officeDocument/2006/relationships/image" Target="media/image48.gif"/><Relationship Id="rId58" Type="http://schemas.openxmlformats.org/officeDocument/2006/relationships/image" Target="media/image49.gif"/><Relationship Id="rId59" Type="http://schemas.openxmlformats.org/officeDocument/2006/relationships/image" Target="media/image50.gif"/><Relationship Id="rId60" Type="http://schemas.openxmlformats.org/officeDocument/2006/relationships/image" Target="media/image51.jpeg"/><Relationship Id="rId61" Type="http://schemas.openxmlformats.org/officeDocument/2006/relationships/image" Target="media/image52.jpeg"/><Relationship Id="rId62" Type="http://schemas.openxmlformats.org/officeDocument/2006/relationships/image" Target="media/image53.jpeg"/><Relationship Id="rId63" Type="http://schemas.openxmlformats.org/officeDocument/2006/relationships/image" Target="media/image54.jpeg"/><Relationship Id="rId64" Type="http://schemas.openxmlformats.org/officeDocument/2006/relationships/image" Target="media/image53.jpeg"/><Relationship Id="rId65" Type="http://schemas.openxmlformats.org/officeDocument/2006/relationships/image" Target="media/image55.jpeg"/><Relationship Id="rId66" Type="http://schemas.openxmlformats.org/officeDocument/2006/relationships/image" Target="media/image56.jpeg"/><Relationship Id="rId67" Type="http://schemas.openxmlformats.org/officeDocument/2006/relationships/image" Target="media/image53.jpeg"/><Relationship Id="rId68" Type="http://schemas.openxmlformats.org/officeDocument/2006/relationships/image" Target="media/image57.jpeg"/><Relationship Id="rId69" Type="http://schemas.openxmlformats.org/officeDocument/2006/relationships/image" Target="media/image58.jpeg"/><Relationship Id="rId70" Type="http://schemas.openxmlformats.org/officeDocument/2006/relationships/image" Target="media/image53.jpeg"/><Relationship Id="rId71" Type="http://schemas.openxmlformats.org/officeDocument/2006/relationships/image" Target="media/image59.jpeg"/><Relationship Id="rId72" Type="http://schemas.openxmlformats.org/officeDocument/2006/relationships/image" Target="media/image60.jpeg"/><Relationship Id="rId73" Type="http://schemas.openxmlformats.org/officeDocument/2006/relationships/image" Target="media/image53.jpeg"/><Relationship Id="rId74" Type="http://schemas.openxmlformats.org/officeDocument/2006/relationships/image" Target="media/image59.jpeg"/><Relationship Id="rId75" Type="http://schemas.openxmlformats.org/officeDocument/2006/relationships/image" Target="media/image61.jpeg"/><Relationship Id="rId76" Type="http://schemas.openxmlformats.org/officeDocument/2006/relationships/image" Target="media/image53.jpeg"/><Relationship Id="rId77" Type="http://schemas.openxmlformats.org/officeDocument/2006/relationships/image" Target="media/image55.jpeg"/><Relationship Id="rId78" Type="http://schemas.openxmlformats.org/officeDocument/2006/relationships/image" Target="media/image62.jpeg"/><Relationship Id="rId79" Type="http://schemas.openxmlformats.org/officeDocument/2006/relationships/image" Target="media/image62.jpeg"/><Relationship Id="rId80" Type="http://schemas.openxmlformats.org/officeDocument/2006/relationships/image" Target="media/image62.jpeg"/><Relationship Id="rId81" Type="http://schemas.openxmlformats.org/officeDocument/2006/relationships/image" Target="media/image62.jpeg"/><Relationship Id="rId82" Type="http://schemas.openxmlformats.org/officeDocument/2006/relationships/image" Target="media/image62.jpeg"/><Relationship Id="rId83" Type="http://schemas.openxmlformats.org/officeDocument/2006/relationships/image" Target="media/image62.jpeg"/><Relationship Id="rId84" Type="http://schemas.openxmlformats.org/officeDocument/2006/relationships/image" Target="media/image62.jpeg"/><Relationship Id="rId85" Type="http://schemas.openxmlformats.org/officeDocument/2006/relationships/image" Target="media/image62.jpeg"/><Relationship Id="rId86" Type="http://schemas.openxmlformats.org/officeDocument/2006/relationships/image" Target="media/image62.jpeg"/><Relationship Id="rId87" Type="http://schemas.openxmlformats.org/officeDocument/2006/relationships/image" Target="media/image62.jpeg"/><Relationship Id="rId88" Type="http://schemas.openxmlformats.org/officeDocument/2006/relationships/image" Target="media/image62.jpeg"/><Relationship Id="rId89" Type="http://schemas.openxmlformats.org/officeDocument/2006/relationships/image" Target="media/image62.jpeg"/><Relationship Id="rId90" Type="http://schemas.openxmlformats.org/officeDocument/2006/relationships/image" Target="media/image62.jpeg"/><Relationship Id="rId91" Type="http://schemas.openxmlformats.org/officeDocument/2006/relationships/image" Target="media/image62.jpeg"/><Relationship Id="rId92" Type="http://schemas.openxmlformats.org/officeDocument/2006/relationships/image" Target="media/image62.jpeg"/><Relationship Id="rId93" Type="http://schemas.openxmlformats.org/officeDocument/2006/relationships/image" Target="media/image63.jpeg"/><Relationship Id="rId94" Type="http://schemas.openxmlformats.org/officeDocument/2006/relationships/image" Target="media/image64.jpeg"/><Relationship Id="rId95" Type="http://schemas.openxmlformats.org/officeDocument/2006/relationships/image" Target="media/image65.jpeg"/><Relationship Id="rId96" Type="http://schemas.openxmlformats.org/officeDocument/2006/relationships/image" Target="media/image66.jpeg"/><Relationship Id="rId97" Type="http://schemas.openxmlformats.org/officeDocument/2006/relationships/image" Target="media/image67.gif"/><Relationship Id="rId98" Type="http://schemas.openxmlformats.org/officeDocument/2006/relationships/image" Target="media/image11.jpeg"/><Relationship Id="rId99" Type="http://schemas.openxmlformats.org/officeDocument/2006/relationships/image" Target="media/image68.jpeg"/><Relationship Id="rId100" Type="http://schemas.openxmlformats.org/officeDocument/2006/relationships/image" Target="media/image69.jpeg"/><Relationship Id="rId101" Type="http://schemas.openxmlformats.org/officeDocument/2006/relationships/image" Target="media/image69.jpeg"/><Relationship Id="rId102" Type="http://schemas.openxmlformats.org/officeDocument/2006/relationships/image" Target="media/image69.jpeg"/><Relationship Id="rId103" Type="http://schemas.openxmlformats.org/officeDocument/2006/relationships/image" Target="media/image69.jpeg"/><Relationship Id="rId104" Type="http://schemas.openxmlformats.org/officeDocument/2006/relationships/image" Target="media/image70.jpeg"/><Relationship Id="rId105" Type="http://schemas.openxmlformats.org/officeDocument/2006/relationships/image" Target="media/image70.jpeg"/><Relationship Id="rId106" Type="http://schemas.openxmlformats.org/officeDocument/2006/relationships/image" Target="media/image70.jpeg"/><Relationship Id="rId107" Type="http://schemas.openxmlformats.org/officeDocument/2006/relationships/image" Target="media/image70.jpeg"/><Relationship Id="rId108" Type="http://schemas.openxmlformats.org/officeDocument/2006/relationships/image" Target="media/image70.jpeg"/><Relationship Id="rId109" Type="http://schemas.openxmlformats.org/officeDocument/2006/relationships/image" Target="media/image70.jpeg"/><Relationship Id="rId110" Type="http://schemas.openxmlformats.org/officeDocument/2006/relationships/image" Target="media/image70.jpeg"/><Relationship Id="rId111" Type="http://schemas.openxmlformats.org/officeDocument/2006/relationships/image" Target="media/image70.jpeg"/><Relationship Id="rId112" Type="http://schemas.openxmlformats.org/officeDocument/2006/relationships/image" Target="media/image71.jpeg"/><Relationship Id="rId113" Type="http://schemas.openxmlformats.org/officeDocument/2006/relationships/image" Target="media/image72.jpeg"/><Relationship Id="rId114" Type="http://schemas.openxmlformats.org/officeDocument/2006/relationships/image" Target="media/image73.jpeg"/><Relationship Id="rId115" Type="http://schemas.openxmlformats.org/officeDocument/2006/relationships/image" Target="media/image74.jpeg"/><Relationship Id="rId116" Type="http://schemas.openxmlformats.org/officeDocument/2006/relationships/image" Target="media/image75.jpeg"/><Relationship Id="rId117" Type="http://schemas.openxmlformats.org/officeDocument/2006/relationships/image" Target="media/image76.jpeg"/><Relationship Id="rId118" Type="http://schemas.openxmlformats.org/officeDocument/2006/relationships/image" Target="media/image77.jpeg"/><Relationship Id="rId119" Type="http://schemas.openxmlformats.org/officeDocument/2006/relationships/image" Target="media/image78.jpeg"/><Relationship Id="rId120" Type="http://schemas.openxmlformats.org/officeDocument/2006/relationships/image" Target="media/image79.jpeg"/><Relationship Id="rId121" Type="http://schemas.openxmlformats.org/officeDocument/2006/relationships/image" Target="media/image80.jpeg"/><Relationship Id="rId122" Type="http://schemas.openxmlformats.org/officeDocument/2006/relationships/image" Target="media/image81.jpeg"/><Relationship Id="rId123" Type="http://schemas.openxmlformats.org/officeDocument/2006/relationships/image" Target="media/image82.jpeg"/><Relationship Id="rId124" Type="http://schemas.openxmlformats.org/officeDocument/2006/relationships/image" Target="media/image83.jpeg"/><Relationship Id="rId125" Type="http://schemas.openxmlformats.org/officeDocument/2006/relationships/image" Target="media/image84.jpeg"/><Relationship Id="rId126" Type="http://schemas.openxmlformats.org/officeDocument/2006/relationships/image" Target="media/image72.jpeg"/><Relationship Id="rId127" Type="http://schemas.openxmlformats.org/officeDocument/2006/relationships/image" Target="media/image85.jpeg"/><Relationship Id="rId128" Type="http://schemas.openxmlformats.org/officeDocument/2006/relationships/image" Target="media/image85.jpeg"/><Relationship Id="rId129" Type="http://schemas.openxmlformats.org/officeDocument/2006/relationships/image" Target="media/image85.jpeg"/><Relationship Id="rId130" Type="http://schemas.openxmlformats.org/officeDocument/2006/relationships/image" Target="media/image85.jpeg"/><Relationship Id="rId131" Type="http://schemas.openxmlformats.org/officeDocument/2006/relationships/image" Target="media/image85.jpeg"/><Relationship Id="rId132" Type="http://schemas.openxmlformats.org/officeDocument/2006/relationships/image" Target="media/image85.jpeg"/><Relationship Id="rId133" Type="http://schemas.openxmlformats.org/officeDocument/2006/relationships/image" Target="media/image85.jpeg"/><Relationship Id="rId134" Type="http://schemas.openxmlformats.org/officeDocument/2006/relationships/image" Target="media/image86.jpeg"/><Relationship Id="rId135" Type="http://schemas.openxmlformats.org/officeDocument/2006/relationships/image" Target="media/image73.jpeg"/><Relationship Id="rId136" Type="http://schemas.openxmlformats.org/officeDocument/2006/relationships/image" Target="media/image85.jpeg"/><Relationship Id="rId137" Type="http://schemas.openxmlformats.org/officeDocument/2006/relationships/image" Target="media/image87.jpeg"/><Relationship Id="rId138" Type="http://schemas.openxmlformats.org/officeDocument/2006/relationships/image" Target="media/image85.jpeg"/><Relationship Id="rId139" Type="http://schemas.openxmlformats.org/officeDocument/2006/relationships/image" Target="media/image87.jpeg"/><Relationship Id="rId140" Type="http://schemas.openxmlformats.org/officeDocument/2006/relationships/image" Target="media/image87.jpeg"/><Relationship Id="rId141" Type="http://schemas.openxmlformats.org/officeDocument/2006/relationships/image" Target="media/image85.jpeg"/><Relationship Id="rId142" Type="http://schemas.openxmlformats.org/officeDocument/2006/relationships/image" Target="media/image85.jpeg"/><Relationship Id="rId143" Type="http://schemas.openxmlformats.org/officeDocument/2006/relationships/image" Target="media/image88.jpeg"/><Relationship Id="rId144" Type="http://schemas.openxmlformats.org/officeDocument/2006/relationships/image" Target="media/image89.jpeg"/><Relationship Id="rId145" Type="http://schemas.openxmlformats.org/officeDocument/2006/relationships/image" Target="media/image74.jpeg"/><Relationship Id="rId146" Type="http://schemas.openxmlformats.org/officeDocument/2006/relationships/image" Target="media/image85.jpeg"/><Relationship Id="rId147" Type="http://schemas.openxmlformats.org/officeDocument/2006/relationships/image" Target="media/image85.jpeg"/><Relationship Id="rId148" Type="http://schemas.openxmlformats.org/officeDocument/2006/relationships/image" Target="media/image90.jpeg"/><Relationship Id="rId149" Type="http://schemas.openxmlformats.org/officeDocument/2006/relationships/image" Target="media/image85.jpeg"/><Relationship Id="rId150" Type="http://schemas.openxmlformats.org/officeDocument/2006/relationships/image" Target="media/image90.jpeg"/><Relationship Id="rId151" Type="http://schemas.openxmlformats.org/officeDocument/2006/relationships/image" Target="media/image85.jpeg"/><Relationship Id="rId152" Type="http://schemas.openxmlformats.org/officeDocument/2006/relationships/image" Target="media/image85.jpeg"/><Relationship Id="rId153" Type="http://schemas.openxmlformats.org/officeDocument/2006/relationships/image" Target="media/image86.jpeg"/><Relationship Id="rId154" Type="http://schemas.openxmlformats.org/officeDocument/2006/relationships/image" Target="media/image91.jpeg"/><Relationship Id="rId155" Type="http://schemas.openxmlformats.org/officeDocument/2006/relationships/image" Target="media/image75.jpeg"/><Relationship Id="rId156" Type="http://schemas.openxmlformats.org/officeDocument/2006/relationships/image" Target="media/image85.jpeg"/><Relationship Id="rId157" Type="http://schemas.openxmlformats.org/officeDocument/2006/relationships/image" Target="media/image87.jpeg"/><Relationship Id="rId158" Type="http://schemas.openxmlformats.org/officeDocument/2006/relationships/image" Target="media/image87.jpeg"/><Relationship Id="rId159" Type="http://schemas.openxmlformats.org/officeDocument/2006/relationships/image" Target="media/image85.jpeg"/><Relationship Id="rId160" Type="http://schemas.openxmlformats.org/officeDocument/2006/relationships/image" Target="media/image87.jpeg"/><Relationship Id="rId161" Type="http://schemas.openxmlformats.org/officeDocument/2006/relationships/image" Target="media/image87.jpeg"/><Relationship Id="rId162" Type="http://schemas.openxmlformats.org/officeDocument/2006/relationships/image" Target="media/image85.jpeg"/><Relationship Id="rId163" Type="http://schemas.openxmlformats.org/officeDocument/2006/relationships/image" Target="media/image88.jpeg"/><Relationship Id="rId164" Type="http://schemas.openxmlformats.org/officeDocument/2006/relationships/image" Target="media/image92.jpeg"/><Relationship Id="rId165" Type="http://schemas.openxmlformats.org/officeDocument/2006/relationships/image" Target="media/image76.jpeg"/><Relationship Id="rId166" Type="http://schemas.openxmlformats.org/officeDocument/2006/relationships/image" Target="media/image90.jpeg"/><Relationship Id="rId167" Type="http://schemas.openxmlformats.org/officeDocument/2006/relationships/image" Target="media/image85.jpeg"/><Relationship Id="rId168" Type="http://schemas.openxmlformats.org/officeDocument/2006/relationships/image" Target="media/image90.jpeg"/><Relationship Id="rId169" Type="http://schemas.openxmlformats.org/officeDocument/2006/relationships/image" Target="media/image90.jpeg"/><Relationship Id="rId170" Type="http://schemas.openxmlformats.org/officeDocument/2006/relationships/image" Target="media/image85.jpeg"/><Relationship Id="rId171" Type="http://schemas.openxmlformats.org/officeDocument/2006/relationships/image" Target="media/image90.jpeg"/><Relationship Id="rId172" Type="http://schemas.openxmlformats.org/officeDocument/2006/relationships/image" Target="media/image85.jpeg"/><Relationship Id="rId173" Type="http://schemas.openxmlformats.org/officeDocument/2006/relationships/image" Target="media/image86.jpeg"/><Relationship Id="rId174" Type="http://schemas.openxmlformats.org/officeDocument/2006/relationships/image" Target="media/image93.jpeg"/><Relationship Id="rId175" Type="http://schemas.openxmlformats.org/officeDocument/2006/relationships/image" Target="media/image77.jpeg"/><Relationship Id="rId176" Type="http://schemas.openxmlformats.org/officeDocument/2006/relationships/image" Target="media/image85.jpeg"/><Relationship Id="rId177" Type="http://schemas.openxmlformats.org/officeDocument/2006/relationships/image" Target="media/image85.jpeg"/><Relationship Id="rId178" Type="http://schemas.openxmlformats.org/officeDocument/2006/relationships/image" Target="media/image87.jpeg"/><Relationship Id="rId179" Type="http://schemas.openxmlformats.org/officeDocument/2006/relationships/image" Target="media/image85.jpeg"/><Relationship Id="rId180" Type="http://schemas.openxmlformats.org/officeDocument/2006/relationships/image" Target="media/image85.jpeg"/><Relationship Id="rId181" Type="http://schemas.openxmlformats.org/officeDocument/2006/relationships/image" Target="media/image87.jpeg"/><Relationship Id="rId182" Type="http://schemas.openxmlformats.org/officeDocument/2006/relationships/image" Target="media/image87.jpeg"/><Relationship Id="rId183" Type="http://schemas.openxmlformats.org/officeDocument/2006/relationships/image" Target="media/image88.jpeg"/><Relationship Id="rId184" Type="http://schemas.openxmlformats.org/officeDocument/2006/relationships/image" Target="media/image89.jpeg"/><Relationship Id="rId185" Type="http://schemas.openxmlformats.org/officeDocument/2006/relationships/image" Target="media/image85.jpeg"/><Relationship Id="rId186" Type="http://schemas.openxmlformats.org/officeDocument/2006/relationships/image" Target="media/image90.jpeg"/><Relationship Id="rId187" Type="http://schemas.openxmlformats.org/officeDocument/2006/relationships/image" Target="media/image48.gif"/><Relationship Id="rId188" Type="http://schemas.openxmlformats.org/officeDocument/2006/relationships/image" Target="media/image49.gif"/><Relationship Id="rId189" Type="http://schemas.openxmlformats.org/officeDocument/2006/relationships/image" Target="media/image50.gif"/><Relationship Id="rId190" Type="http://schemas.openxmlformats.org/officeDocument/2006/relationships/image" Target="media/image51.jpeg"/><Relationship Id="rId191" Type="http://schemas.openxmlformats.org/officeDocument/2006/relationships/image" Target="media/image42.jpeg"/><Relationship Id="rId192" Type="http://schemas.openxmlformats.org/officeDocument/2006/relationships/image" Target="media/image94.jpeg"/><Relationship Id="rId193" Type="http://schemas.openxmlformats.org/officeDocument/2006/relationships/image" Target="media/image54.jpeg"/><Relationship Id="rId194" Type="http://schemas.openxmlformats.org/officeDocument/2006/relationships/image" Target="media/image95.jpeg"/><Relationship Id="rId195" Type="http://schemas.openxmlformats.org/officeDocument/2006/relationships/image" Target="media/image58.jpeg"/><Relationship Id="rId196" Type="http://schemas.openxmlformats.org/officeDocument/2006/relationships/image" Target="media/image61.jpeg"/><Relationship Id="rId197" Type="http://schemas.openxmlformats.org/officeDocument/2006/relationships/image" Target="media/image96.jpeg"/><Relationship Id="rId198" Type="http://schemas.openxmlformats.org/officeDocument/2006/relationships/image" Target="media/image94.jpeg"/><Relationship Id="rId199" Type="http://schemas.openxmlformats.org/officeDocument/2006/relationships/image" Target="media/image95.jpeg"/><Relationship Id="rId200" Type="http://schemas.openxmlformats.org/officeDocument/2006/relationships/image" Target="media/image97.jpeg"/><Relationship Id="rId201" Type="http://schemas.openxmlformats.org/officeDocument/2006/relationships/image" Target="media/image61.jpeg"/><Relationship Id="rId202" Type="http://schemas.openxmlformats.org/officeDocument/2006/relationships/image" Target="media/image94.jpeg"/><Relationship Id="rId203" Type="http://schemas.openxmlformats.org/officeDocument/2006/relationships/image" Target="media/image54.jpeg"/><Relationship Id="rId204" Type="http://schemas.openxmlformats.org/officeDocument/2006/relationships/image" Target="media/image95.jpeg"/><Relationship Id="rId205" Type="http://schemas.openxmlformats.org/officeDocument/2006/relationships/image" Target="media/image58.jpeg"/><Relationship Id="rId206" Type="http://schemas.openxmlformats.org/officeDocument/2006/relationships/image" Target="media/image97.jpeg"/><Relationship Id="rId207" Type="http://schemas.openxmlformats.org/officeDocument/2006/relationships/image" Target="media/image61.jpeg"/><Relationship Id="rId208" Type="http://schemas.openxmlformats.org/officeDocument/2006/relationships/image" Target="media/image98.jpeg"/><Relationship Id="rId209" Type="http://schemas.openxmlformats.org/officeDocument/2006/relationships/image" Target="media/image94.jpeg"/><Relationship Id="rId210" Type="http://schemas.openxmlformats.org/officeDocument/2006/relationships/image" Target="media/image54.jpeg"/><Relationship Id="rId211" Type="http://schemas.openxmlformats.org/officeDocument/2006/relationships/image" Target="media/image99.jpeg"/><Relationship Id="rId212" Type="http://schemas.openxmlformats.org/officeDocument/2006/relationships/image" Target="media/image94.jpeg"/><Relationship Id="rId213" Type="http://schemas.openxmlformats.org/officeDocument/2006/relationships/image" Target="media/image95.jpeg"/><Relationship Id="rId214" Type="http://schemas.openxmlformats.org/officeDocument/2006/relationships/image" Target="media/image58.jpeg"/><Relationship Id="rId215" Type="http://schemas.openxmlformats.org/officeDocument/2006/relationships/image" Target="media/image61.jpeg"/><Relationship Id="rId216" Type="http://schemas.openxmlformats.org/officeDocument/2006/relationships/image" Target="media/image94.jpeg"/><Relationship Id="rId217" Type="http://schemas.openxmlformats.org/officeDocument/2006/relationships/image" Target="media/image54.jpeg"/><Relationship Id="rId218" Type="http://schemas.openxmlformats.org/officeDocument/2006/relationships/image" Target="media/image95.jpeg"/><Relationship Id="rId219" Type="http://schemas.openxmlformats.org/officeDocument/2006/relationships/image" Target="media/image58.jpeg"/><Relationship Id="rId220" Type="http://schemas.openxmlformats.org/officeDocument/2006/relationships/image" Target="media/image97.jpeg"/><Relationship Id="rId221" Type="http://schemas.openxmlformats.org/officeDocument/2006/relationships/image" Target="media/image61.jpeg"/><Relationship Id="rId222" Type="http://schemas.openxmlformats.org/officeDocument/2006/relationships/image" Target="media/image100.jpeg"/><Relationship Id="rId223" Type="http://schemas.openxmlformats.org/officeDocument/2006/relationships/image" Target="media/image94.jpeg"/><Relationship Id="rId224" Type="http://schemas.openxmlformats.org/officeDocument/2006/relationships/image" Target="media/image61.jpeg"/><Relationship Id="rId225" Type="http://schemas.openxmlformats.org/officeDocument/2006/relationships/image" Target="media/image97.jpeg"/><Relationship Id="rId226" Type="http://schemas.openxmlformats.org/officeDocument/2006/relationships/image" Target="media/image101.jpeg"/><Relationship Id="rId227" Type="http://schemas.openxmlformats.org/officeDocument/2006/relationships/image" Target="media/image94.jpeg"/><Relationship Id="rId228" Type="http://schemas.openxmlformats.org/officeDocument/2006/relationships/image" Target="media/image54.jpeg"/><Relationship Id="rId229" Type="http://schemas.openxmlformats.org/officeDocument/2006/relationships/image" Target="media/image95.jpeg"/><Relationship Id="rId230" Type="http://schemas.openxmlformats.org/officeDocument/2006/relationships/image" Target="media/image94.jpeg"/><Relationship Id="rId231" Type="http://schemas.openxmlformats.org/officeDocument/2006/relationships/image" Target="media/image54.jpeg"/><Relationship Id="rId232" Type="http://schemas.openxmlformats.org/officeDocument/2006/relationships/image" Target="media/image95.jpeg"/><Relationship Id="rId233" Type="http://schemas.openxmlformats.org/officeDocument/2006/relationships/image" Target="media/image58.jpeg"/><Relationship Id="rId234" Type="http://schemas.openxmlformats.org/officeDocument/2006/relationships/image" Target="media/image97.jpeg"/><Relationship Id="rId235" Type="http://schemas.openxmlformats.org/officeDocument/2006/relationships/image" Target="media/image61.jpeg"/><Relationship Id="rId236" Type="http://schemas.openxmlformats.org/officeDocument/2006/relationships/image" Target="media/image102.jpeg"/><Relationship Id="rId237" Type="http://schemas.openxmlformats.org/officeDocument/2006/relationships/image" Target="media/image94.jpeg"/><Relationship Id="rId238" Type="http://schemas.openxmlformats.org/officeDocument/2006/relationships/image" Target="media/image54.jpeg"/><Relationship Id="rId239" Type="http://schemas.openxmlformats.org/officeDocument/2006/relationships/image" Target="media/image95.jpeg"/><Relationship Id="rId240" Type="http://schemas.openxmlformats.org/officeDocument/2006/relationships/image" Target="media/image58.jpeg"/><Relationship Id="rId241" Type="http://schemas.openxmlformats.org/officeDocument/2006/relationships/image" Target="media/image97.jpeg"/><Relationship Id="rId242" Type="http://schemas.openxmlformats.org/officeDocument/2006/relationships/image" Target="media/image94.jpeg"/><Relationship Id="rId243" Type="http://schemas.openxmlformats.org/officeDocument/2006/relationships/image" Target="media/image54.jpeg"/><Relationship Id="rId244" Type="http://schemas.openxmlformats.org/officeDocument/2006/relationships/image" Target="media/image95.jpeg"/><Relationship Id="rId245" Type="http://schemas.openxmlformats.org/officeDocument/2006/relationships/image" Target="media/image58.jpeg"/><Relationship Id="rId246" Type="http://schemas.openxmlformats.org/officeDocument/2006/relationships/image" Target="media/image97.jpeg"/><Relationship Id="rId247" Type="http://schemas.openxmlformats.org/officeDocument/2006/relationships/image" Target="media/image61.jpeg"/><Relationship Id="rId248" Type="http://schemas.openxmlformats.org/officeDocument/2006/relationships/image" Target="media/image103.jpeg"/><Relationship Id="rId249" Type="http://schemas.openxmlformats.org/officeDocument/2006/relationships/image" Target="media/image104.jpeg"/><Relationship Id="rId250" Type="http://schemas.openxmlformats.org/officeDocument/2006/relationships/image" Target="media/image105.jpeg"/><Relationship Id="rId251" Type="http://schemas.openxmlformats.org/officeDocument/2006/relationships/image" Target="media/image106.jpeg"/><Relationship Id="rId252" Type="http://schemas.openxmlformats.org/officeDocument/2006/relationships/image" Target="media/image107.jpeg"/><Relationship Id="rId253" Type="http://schemas.openxmlformats.org/officeDocument/2006/relationships/image" Target="media/image108.jpeg"/><Relationship Id="rId254" Type="http://schemas.openxmlformats.org/officeDocument/2006/relationships/image" Target="media/image109.jpeg"/><Relationship Id="rId255" Type="http://schemas.openxmlformats.org/officeDocument/2006/relationships/image" Target="media/image109.jpeg"/><Relationship Id="rId256" Type="http://schemas.openxmlformats.org/officeDocument/2006/relationships/image" Target="media/image109.jpeg"/><Relationship Id="rId257" Type="http://schemas.openxmlformats.org/officeDocument/2006/relationships/image" Target="media/image109.jpeg"/><Relationship Id="rId258" Type="http://schemas.openxmlformats.org/officeDocument/2006/relationships/image" Target="media/image109.jpeg"/><Relationship Id="rId259" Type="http://schemas.openxmlformats.org/officeDocument/2006/relationships/image" Target="media/image109.jpeg"/><Relationship Id="rId260" Type="http://schemas.openxmlformats.org/officeDocument/2006/relationships/image" Target="media/image110.jpeg"/><Relationship Id="rId261" Type="http://schemas.openxmlformats.org/officeDocument/2006/relationships/image" Target="media/image42.jpeg"/><Relationship Id="rId262" Type="http://schemas.openxmlformats.org/officeDocument/2006/relationships/image" Target="media/image111.jpeg"/><Relationship Id="rId263" Type="http://schemas.openxmlformats.org/officeDocument/2006/relationships/image" Target="media/image112.jpeg"/><Relationship Id="rId264" Type="http://schemas.openxmlformats.org/officeDocument/2006/relationships/image" Target="media/image113.jpeg"/><Relationship Id="rId265" Type="http://schemas.openxmlformats.org/officeDocument/2006/relationships/image" Target="media/image114.jpeg"/><Relationship Id="rId266" Type="http://schemas.openxmlformats.org/officeDocument/2006/relationships/image" Target="media/image114.jpeg"/><Relationship Id="rId267" Type="http://schemas.openxmlformats.org/officeDocument/2006/relationships/image" Target="media/image112.jpeg"/><Relationship Id="rId268" Type="http://schemas.openxmlformats.org/officeDocument/2006/relationships/image" Target="media/image115.jpeg"/><Relationship Id="rId269" Type="http://schemas.openxmlformats.org/officeDocument/2006/relationships/image" Target="media/image116.jpeg"/><Relationship Id="rId270" Type="http://schemas.openxmlformats.org/officeDocument/2006/relationships/image" Target="media/image115.jpeg"/><Relationship Id="rId271" Type="http://schemas.openxmlformats.org/officeDocument/2006/relationships/image" Target="media/image117.jpeg"/><Relationship Id="rId272" Type="http://schemas.openxmlformats.org/officeDocument/2006/relationships/image" Target="media/image113.jpeg"/><Relationship Id="rId273" Type="http://schemas.openxmlformats.org/officeDocument/2006/relationships/image" Target="media/image116.jpeg"/><Relationship Id="rId274" Type="http://schemas.openxmlformats.org/officeDocument/2006/relationships/image" Target="media/image118.jpeg"/><Relationship Id="rId275" Type="http://schemas.openxmlformats.org/officeDocument/2006/relationships/image" Target="media/image119.jpeg"/><Relationship Id="rId276" Type="http://schemas.openxmlformats.org/officeDocument/2006/relationships/image" Target="media/image120.jpeg"/><Relationship Id="rId277" Type="http://schemas.openxmlformats.org/officeDocument/2006/relationships/image" Target="media/image121.jpeg"/><Relationship Id="rId278" Type="http://schemas.openxmlformats.org/officeDocument/2006/relationships/image" Target="media/image122.jpeg"/><Relationship Id="rId279" Type="http://schemas.openxmlformats.org/officeDocument/2006/relationships/image" Target="media/image123.jpeg"/><Relationship Id="rId280" Type="http://schemas.openxmlformats.org/officeDocument/2006/relationships/image" Target="media/image124.jpeg"/><Relationship Id="rId281" Type="http://schemas.openxmlformats.org/officeDocument/2006/relationships/image" Target="media/image125.jpeg"/><Relationship Id="rId282" Type="http://schemas.openxmlformats.org/officeDocument/2006/relationships/image" Target="media/image125.jpeg"/><Relationship Id="rId283" Type="http://schemas.openxmlformats.org/officeDocument/2006/relationships/image" Target="media/image125.jpeg"/><Relationship Id="rId284" Type="http://schemas.openxmlformats.org/officeDocument/2006/relationships/image" Target="media/image126.jpeg"/><Relationship Id="rId285" Type="http://schemas.openxmlformats.org/officeDocument/2006/relationships/image" Target="media/image127.jpeg"/><Relationship Id="rId286" Type="http://schemas.openxmlformats.org/officeDocument/2006/relationships/image" Target="media/image128.jpeg"/><Relationship Id="rId287" Type="http://schemas.openxmlformats.org/officeDocument/2006/relationships/image" Target="media/image128.jpeg"/><Relationship Id="rId288" Type="http://schemas.openxmlformats.org/officeDocument/2006/relationships/image" Target="media/image129.jpeg"/><Relationship Id="rId289" Type="http://schemas.openxmlformats.org/officeDocument/2006/relationships/image" Target="media/image130.jpeg"/><Relationship Id="rId290" Type="http://schemas.openxmlformats.org/officeDocument/2006/relationships/image" Target="media/image131.jpeg"/><Relationship Id="rId291" Type="http://schemas.openxmlformats.org/officeDocument/2006/relationships/image" Target="media/image132.gif"/><Relationship Id="rId292" Type="http://schemas.openxmlformats.org/officeDocument/2006/relationships/image" Target="media/image101.jpeg"/><Relationship Id="rId293" Type="http://schemas.openxmlformats.org/officeDocument/2006/relationships/image" Target="media/image133.jpeg"/><Relationship Id="rId294" Type="http://schemas.openxmlformats.org/officeDocument/2006/relationships/image" Target="media/image134.jpeg"/><Relationship Id="rId295" Type="http://schemas.openxmlformats.org/officeDocument/2006/relationships/image" Target="media/image135.jpeg"/><Relationship Id="rId296" Type="http://schemas.openxmlformats.org/officeDocument/2006/relationships/image" Target="media/image136.jpeg"/><Relationship Id="rId297" Type="http://schemas.openxmlformats.org/officeDocument/2006/relationships/image" Target="media/image71.jpeg"/><Relationship Id="rId298" Type="http://schemas.openxmlformats.org/officeDocument/2006/relationships/image" Target="media/image41.jpeg"/><Relationship Id="rId299" Type="http://schemas.openxmlformats.org/officeDocument/2006/relationships/image" Target="media/image137.jpeg"/><Relationship Id="rId300" Type="http://schemas.openxmlformats.org/officeDocument/2006/relationships/image" Target="media/image138.jpeg"/><Relationship Id="rId301" Type="http://schemas.openxmlformats.org/officeDocument/2006/relationships/image" Target="media/image139.jpeg"/><Relationship Id="rId302" Type="http://schemas.openxmlformats.org/officeDocument/2006/relationships/image" Target="media/image140.jpeg"/><Relationship Id="rId303" Type="http://schemas.openxmlformats.org/officeDocument/2006/relationships/image" Target="media/image141.jpeg"/><Relationship Id="rId304" Type="http://schemas.openxmlformats.org/officeDocument/2006/relationships/image" Target="media/image142.jpeg"/><Relationship Id="rId305" Type="http://schemas.openxmlformats.org/officeDocument/2006/relationships/image" Target="media/image143.jpeg"/><Relationship Id="rId306" Type="http://schemas.openxmlformats.org/officeDocument/2006/relationships/image" Target="media/image144.jpeg"/><Relationship Id="rId307" Type="http://schemas.openxmlformats.org/officeDocument/2006/relationships/image" Target="media/image145.jpeg"/><Relationship Id="rId308" Type="http://schemas.openxmlformats.org/officeDocument/2006/relationships/image" Target="media/image146.jpeg"/><Relationship Id="rId309" Type="http://schemas.openxmlformats.org/officeDocument/2006/relationships/image" Target="media/image62.jpeg"/><Relationship Id="rId310" Type="http://schemas.openxmlformats.org/officeDocument/2006/relationships/image" Target="media/image62.jpeg"/><Relationship Id="rId311" Type="http://schemas.openxmlformats.org/officeDocument/2006/relationships/image" Target="media/image62.jpeg"/><Relationship Id="rId312" Type="http://schemas.openxmlformats.org/officeDocument/2006/relationships/image" Target="media/image62.jpeg"/><Relationship Id="rId313" Type="http://schemas.openxmlformats.org/officeDocument/2006/relationships/image" Target="media/image62.jpeg"/><Relationship Id="rId314" Type="http://schemas.openxmlformats.org/officeDocument/2006/relationships/image" Target="media/image63.jpeg"/><Relationship Id="rId315" Type="http://schemas.openxmlformats.org/officeDocument/2006/relationships/image" Target="media/image64.jpeg"/><Relationship Id="rId316" Type="http://schemas.openxmlformats.org/officeDocument/2006/relationships/image" Target="media/image65.jpeg"/><Relationship Id="rId317" Type="http://schemas.openxmlformats.org/officeDocument/2006/relationships/image" Target="media/image66.jpeg"/><Relationship Id="rId318" Type="http://schemas.openxmlformats.org/officeDocument/2006/relationships/image" Target="media/image147.gif"/><Relationship Id="rId319" Type="http://schemas.openxmlformats.org/officeDocument/2006/relationships/image" Target="media/image44.jpeg"/><Relationship Id="rId320" Type="http://schemas.openxmlformats.org/officeDocument/2006/relationships/image" Target="media/image44.jpeg"/><Relationship Id="rId321" Type="http://schemas.openxmlformats.org/officeDocument/2006/relationships/image" Target="media/image44.jpeg"/><Relationship Id="rId322" Type="http://schemas.openxmlformats.org/officeDocument/2006/relationships/image" Target="media/image44.jpeg"/><Relationship Id="rId323" Type="http://schemas.openxmlformats.org/officeDocument/2006/relationships/image" Target="media/image44.jpeg"/><Relationship Id="rId324" Type="http://schemas.openxmlformats.org/officeDocument/2006/relationships/image" Target="media/image44.jpeg"/><Relationship Id="rId325" Type="http://schemas.openxmlformats.org/officeDocument/2006/relationships/image" Target="media/image44.jpeg"/><Relationship Id="rId326" Type="http://schemas.openxmlformats.org/officeDocument/2006/relationships/image" Target="media/image44.jpeg"/><Relationship Id="rId327" Type="http://schemas.openxmlformats.org/officeDocument/2006/relationships/image" Target="media/image44.jpeg"/><Relationship Id="rId328" Type="http://schemas.openxmlformats.org/officeDocument/2006/relationships/image" Target="media/image44.jpeg"/><Relationship Id="rId329" Type="http://schemas.openxmlformats.org/officeDocument/2006/relationships/image" Target="media/image44.jpeg"/><Relationship Id="rId330" Type="http://schemas.openxmlformats.org/officeDocument/2006/relationships/image" Target="media/image44.jpeg"/><Relationship Id="rId331" Type="http://schemas.openxmlformats.org/officeDocument/2006/relationships/image" Target="media/image148.jpeg"/><Relationship Id="rId332" Type="http://schemas.openxmlformats.org/officeDocument/2006/relationships/image" Target="media/image149.jpeg"/><Relationship Id="rId333" Type="http://schemas.openxmlformats.org/officeDocument/2006/relationships/image" Target="media/image148.jpeg"/><Relationship Id="rId334" Type="http://schemas.openxmlformats.org/officeDocument/2006/relationships/image" Target="media/image150.jpeg"/><Relationship Id="rId335" Type="http://schemas.openxmlformats.org/officeDocument/2006/relationships/image" Target="media/image151.jpeg"/><Relationship Id="rId336" Type="http://schemas.openxmlformats.org/officeDocument/2006/relationships/image" Target="media/image152.jpeg"/><Relationship Id="rId337" Type="http://schemas.openxmlformats.org/officeDocument/2006/relationships/image" Target="media/image153.jpeg"/><Relationship Id="rId338" Type="http://schemas.openxmlformats.org/officeDocument/2006/relationships/image" Target="media/image148.jpeg"/><Relationship Id="rId339" Type="http://schemas.openxmlformats.org/officeDocument/2006/relationships/image" Target="media/image148.jpeg"/><Relationship Id="rId340" Type="http://schemas.openxmlformats.org/officeDocument/2006/relationships/image" Target="media/image148.jpeg"/><Relationship Id="rId341" Type="http://schemas.openxmlformats.org/officeDocument/2006/relationships/image" Target="media/image154.jpeg"/><Relationship Id="rId342" Type="http://schemas.openxmlformats.org/officeDocument/2006/relationships/image" Target="media/image148.jpeg"/><Relationship Id="rId343" Type="http://schemas.openxmlformats.org/officeDocument/2006/relationships/image" Target="media/image155.jpeg"/><Relationship Id="rId344" Type="http://schemas.openxmlformats.org/officeDocument/2006/relationships/image" Target="media/image156.jpeg"/><Relationship Id="rId345" Type="http://schemas.openxmlformats.org/officeDocument/2006/relationships/image" Target="media/image157.jpeg"/><Relationship Id="rId346" Type="http://schemas.openxmlformats.org/officeDocument/2006/relationships/image" Target="media/image158.jpeg"/><Relationship Id="rId347" Type="http://schemas.openxmlformats.org/officeDocument/2006/relationships/image" Target="media/image159.jpeg"/><Relationship Id="rId348" Type="http://schemas.openxmlformats.org/officeDocument/2006/relationships/image" Target="media/image160.gif"/><Relationship Id="rId349" Type="http://schemas.openxmlformats.org/officeDocument/2006/relationships/image" Target="media/image161.jpeg"/><Relationship Id="rId350" Type="http://schemas.openxmlformats.org/officeDocument/2006/relationships/image" Target="media/image162.jpeg"/><Relationship Id="rId351" Type="http://schemas.openxmlformats.org/officeDocument/2006/relationships/image" Target="media/image163.gif"/><Relationship Id="rId352" Type="http://schemas.openxmlformats.org/officeDocument/2006/relationships/image" Target="media/image161.jpeg"/><Relationship Id="rId353" Type="http://schemas.openxmlformats.org/officeDocument/2006/relationships/image" Target="media/image162.jpeg"/><Relationship Id="rId354" Type="http://schemas.openxmlformats.org/officeDocument/2006/relationships/image" Target="media/image71.jpeg"/><Relationship Id="rId355" Type="http://schemas.openxmlformats.org/officeDocument/2006/relationships/image" Target="media/image164.jpeg"/><Relationship Id="rId356" Type="http://schemas.openxmlformats.org/officeDocument/2006/relationships/image" Target="media/image165.jpeg"/><Relationship Id="rId357" Type="http://schemas.openxmlformats.org/officeDocument/2006/relationships/image" Target="media/image166.jpeg"/><Relationship Id="rId358" Type="http://schemas.openxmlformats.org/officeDocument/2006/relationships/image" Target="media/image10.jpeg"/><Relationship Id="rId359" Type="http://schemas.openxmlformats.org/officeDocument/2006/relationships/image" Target="media/image11.jpeg"/><Relationship Id="rId360" Type="http://schemas.openxmlformats.org/officeDocument/2006/relationships/image" Target="media/image10.jpeg"/><Relationship Id="rId361" Type="http://schemas.openxmlformats.org/officeDocument/2006/relationships/image" Target="media/image167.jpeg"/><Relationship Id="rId362" Type="http://schemas.openxmlformats.org/officeDocument/2006/relationships/image" Target="media/image168.jpeg"/><Relationship Id="rId363" Type="http://schemas.openxmlformats.org/officeDocument/2006/relationships/image" Target="media/image168.jpeg"/><Relationship Id="rId364" Type="http://schemas.openxmlformats.org/officeDocument/2006/relationships/image" Target="media/image169.jpeg"/><Relationship Id="rId365" Type="http://schemas.openxmlformats.org/officeDocument/2006/relationships/image" Target="media/image170.jpeg"/><Relationship Id="rId366" Type="http://schemas.openxmlformats.org/officeDocument/2006/relationships/image" Target="media/image171.jpeg"/><Relationship Id="rId367" Type="http://schemas.openxmlformats.org/officeDocument/2006/relationships/fontTable" Target="fontTable.xml"/><Relationship Id="rId36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10</Pages>
  <Words>34866</Words>
  <Characters>198992</Characters>
  <CharactersWithSpaces>231333</CharactersWithSpaces>
  <Paragraphs>5409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