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622318-1_4seq1.xml.htm"/>
      <w:bookmarkStart w:id="1" w:name="kstm26223181_4seq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BYOM JOHN 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660 WHITE PLAINS ROAD</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TARRYTOWN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10591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Prestige Consumer Healthcare Inc.</w:t>
              </w:r>
            </w:hyperlink>
            <w:r>
              <w:rPr/>
              <w:t xml:space="preserve"> [ </w:t>
            </w:r>
            <w:r>
              <w:rPr>
                <w:rFonts w:ascii="Times;serif" w:hAnsi="Times;serif"/>
                <w:color w:val="0000FF"/>
                <w:sz w:val="24"/>
                <w:shd w:fill="FFFFFF" w:val="clear"/>
              </w:rPr>
              <w:t>PBH</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5"/>
        <w:gridCol w:w="903"/>
        <w:gridCol w:w="772"/>
        <w:gridCol w:w="600"/>
        <w:gridCol w:w="352"/>
        <w:gridCol w:w="898"/>
        <w:gridCol w:w="464"/>
        <w:gridCol w:w="626"/>
        <w:gridCol w:w="1179"/>
        <w:gridCol w:w="1009"/>
        <w:gridCol w:w="92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8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7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$0.01 per share</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08/04/2026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2,981</w:t>
            </w:r>
            <w:r>
              <w:rPr>
                <w:rFonts w:ascii="Times;serif" w:hAnsi="Times;serif"/>
                <w:color w:val="008000"/>
                <w:position w:val="7"/>
                <w:sz w:val="16"/>
                <w:sz w:val="20"/>
                <w:shd w:fill="FFFFFF" w:val="clear"/>
              </w:rPr>
              <w:t>(1)</w:t>
            </w:r>
          </w:p>
        </w:tc>
        <w:tc>
          <w:tcPr>
            <w:tcW w:w="46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7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54,575</w:t>
            </w:r>
          </w:p>
        </w:tc>
        <w:tc>
          <w:tcPr>
            <w:tcW w:w="100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Reporting Person received 2,981 restricted stock units equal to $155,000 divided by the closing stock price of $52.00 on August 4, 2026, in connection with the Issuer's director compensation program. The restricted stock units vest on the first anniversary of grant and will be settled by delivery to the Reporting Person of one share of common stock of the issuer for each vested restricted stock unit promptly following the earliest of (1) the Reporting Person's death, (ii) the Reporting Person's separation or (iii) change in control.</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John E. Byom by William P'Pool Attorney-in-Fact pursuant to Power of Attorney dated May 8, 2017 on file with the Commission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02329" TargetMode="External"/><Relationship Id="rId5" Type="http://schemas.openxmlformats.org/officeDocument/2006/relationships/hyperlink" Target="http://www.sec.gov/cgi-bin/browse-edgar?action=getcompany&amp;CIK=000129594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672</Words>
  <Characters>3609</Characters>
  <CharactersWithSpaces>4215</CharactersWithSpaces>
  <Paragraphs>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