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30,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36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1, 2026 (the “Closing Date”), </w:t>
      </w:r>
      <w:r>
        <w:rPr>
          <w:rFonts w:ascii="Times New Roman;serif" w:hAnsi="Times New Roman;serif"/>
          <w:b w:val="false"/>
          <w:color w:val="000000"/>
          <w:sz w:val="20"/>
          <w:shd w:fill="FFFFFF" w:val="clear"/>
        </w:rPr>
        <w:t xml:space="preserve">Prestige Consumer Healthcare Inc. (the “Company”) and its wholly-owned subsidiary, Prestige Brands, Inc. (the “Borrower”), entered into an amendment (the “Amendment”) to that certain Term Loan Credit Agreement (the “Term Loan Credit Agreement”) by and among the Company, the Borrower, certain other subsidiaries of the Company as guarantors, Citibank, N.A. as administrative agent, the lenders party thereto and Citibank, N.A., Barclays Bank PLC, Morgan Stanley Senior Funding Inc., Goldman Sachs Bank USA and RBC Capital Markets, as joint lead arrangers and joint bookrunners. Under the Amendment, the Borrower is permitted to borrow additional term loans in an amount not to exceed $95.0 million that may be used by the Borrower to finance, in part, the previously announced acquisition of </w:t>
      </w:r>
      <w:r>
        <w:rPr>
          <w:rFonts w:ascii="Times New Roman;serif" w:hAnsi="Times New Roman;serif"/>
          <w:b w:val="false"/>
          <w:color w:val="212529"/>
          <w:sz w:val="20"/>
        </w:rPr>
        <w:t>LaCorium Health Australia Pty Limited, Stantail Trading Pty Limited, Stantail International Pty Limited, Brands Worldwide Holdings I.P. Pty Limited, and Laderma Holdings Pty Limited, each an Australian company</w:t>
      </w:r>
      <w:r>
        <w:rPr>
          <w:color w:val="000000"/>
          <w:shd w:fill="FFFFFF" w:val="clear"/>
        </w:rPr>
        <w:t xml:space="preserve"> </w:t>
      </w:r>
      <w:r>
        <w:rPr>
          <w:rFonts w:ascii="Times New Roman;serif" w:hAnsi="Times New Roman;serif"/>
          <w:b w:val="false"/>
          <w:color w:val="000000"/>
          <w:sz w:val="20"/>
          <w:shd w:fill="FFFFFF" w:val="clear"/>
        </w:rPr>
        <w:t>(the “LaCorium Acquisition”), together with fees and expenses incurred in connection with the LaCorium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foregoing description of the Amendment and the transactions contemplated thereby do not purport to be complete and are qualified in their entirety by reference to the Amendment, a copy of which will be filed as an exhibit to the Company’s Quarterly Report on Form 10-Q for the quarter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 Balance Sheet Arrangement of a Registrant.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Also on the Closing Date, the Borrower borrowed $95,000,000 under the Amendment to finance the LaCorium Acquisition, which closed on the Closing Date, together with fees and expenses incurred in connection with the closing of the LaCorium Acquisition.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issued a press release announcing the commencement of a private offering of $400,000,000 of senior unsecured notes due 2034 (the “Notes”). A copy of the press release is furnished herewith as Exhibit 99.1 and is incorporated herein by reference.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On July 6, 2026, the Company issued a press release announcing the completion of the LaCorium Acquisition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the pricing of the private offering of the Notes. A copy of the press release is furnished herewith as Exhibit 99.2 and is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in this Item 7.01, including Exhibits 99.1 and 99.2 attached hereto,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except as shall be expressly set forth by the specific reference in such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Exhibits.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73"/>
        <w:gridCol w:w="2673"/>
        <w:gridCol w:w="379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0"/>
              <w:jc w:val="left"/>
              <w:rPr/>
            </w:pPr>
            <w:hyperlink w:anchor="exhibit991prestige-launchp.htm">
              <w:r>
                <w:rPr>
                  <w:rStyle w:val="InternetLink"/>
                  <w:rFonts w:ascii="Times New Roman;serif" w:hAnsi="Times New Roman;serif"/>
                  <w:b w:val="false"/>
                  <w:color w:val="0000FF"/>
                  <w:sz w:val="20"/>
                  <w:u w:val="single"/>
                </w:rPr>
                <w:t>Press Release dated June 30, 2026, announcing the commencement of the private offering of the Notes.</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2026-07x06lacori.htm">
              <w:r>
                <w:rPr>
                  <w:rStyle w:val="InternetLink"/>
                  <w:rFonts w:ascii="Times New Roman;serif" w:hAnsi="Times New Roman;serif"/>
                  <w:b w:val="false"/>
                  <w:color w:val="000080"/>
                  <w:sz w:val="20"/>
                  <w:u w:val="single"/>
                </w:rPr>
                <w:t>Press Release dated July 6, 2026, announcing the closing of the LaCorium Acquisition and the pricing of the private offering of the Notes</w:t>
              </w:r>
            </w:hyperlink>
            <w:hyperlink w:anchor="exhibit9922026-07x06lacori.htm">
              <w:r>
                <w:rPr>
                  <w:rStyle w:val="InternetLink"/>
                  <w:rFonts w:ascii="Times New Roman;serif" w:hAnsi="Times New Roman;serif"/>
                  <w:b w:val="false"/>
                  <w:color w:val="000080"/>
                  <w:sz w:val="20"/>
                  <w:u w:val="single"/>
                </w:rPr>
                <w:t>.</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8125" w:type="dxa"/>
        <w:jc w:val="left"/>
        <w:tblInd w:w="0" w:type="dxa"/>
        <w:tblLayout w:type="fixed"/>
        <w:tblCellMar>
          <w:top w:w="28" w:type="dxa"/>
          <w:left w:w="28" w:type="dxa"/>
          <w:bottom w:w="28" w:type="dxa"/>
          <w:right w:w="28" w:type="dxa"/>
        </w:tblCellMar>
      </w:tblPr>
      <w:tblGrid>
        <w:gridCol w:w="618"/>
        <w:gridCol w:w="543"/>
        <w:gridCol w:w="548"/>
        <w:gridCol w:w="645"/>
        <w:gridCol w:w="645"/>
        <w:gridCol w:w="645"/>
        <w:gridCol w:w="1362"/>
        <w:gridCol w:w="1362"/>
        <w:gridCol w:w="1385"/>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6, 2026</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jc w:val="center"/>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2"/>
        </w:rPr>
      </w:pPr>
      <w:r>
        <w:rPr>
          <w:rFonts w:ascii="Arial;sans-serif" w:hAnsi="Arial;sans-serif"/>
          <w:b w:val="false"/>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4448175" cy="5429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448175" cy="542925"/>
                    </a:xfrm>
                    <a:prstGeom prst="rect">
                      <a:avLst/>
                    </a:prstGeom>
                  </pic:spPr>
                </pic:pic>
              </a:graphicData>
            </a:graphic>
          </wp:inline>
        </w:drawing>
      </w:r>
    </w:p>
    <w:p>
      <w:pPr>
        <w:pStyle w:val="TextBody"/>
        <w:bidi w:val="0"/>
        <w:spacing w:lineRule="auto" w:line="288" w:before="194" w:after="283"/>
        <w:jc w:val="left"/>
        <w:rPr/>
      </w:pPr>
      <w:r>
        <w:rPr>
          <w:rFonts w:ascii="Arial;sans-serif" w:hAnsi="Arial;sans-serif"/>
          <w:b/>
          <w:color w:val="000000"/>
          <w:sz w:val="22"/>
        </w:rPr>
        <w:t>Prestige</w:t>
      </w:r>
      <w:r>
        <w:rPr>
          <w:color w:val="000000"/>
        </w:rPr>
        <w:t xml:space="preserve"> </w:t>
      </w:r>
      <w:r>
        <w:rPr>
          <w:rFonts w:ascii="Arial;sans-serif" w:hAnsi="Arial;sans-serif"/>
          <w:b/>
          <w:color w:val="000000"/>
          <w:sz w:val="22"/>
        </w:rPr>
        <w:t>Consumer</w:t>
      </w:r>
      <w:r>
        <w:rPr>
          <w:color w:val="000000"/>
        </w:rPr>
        <w:t xml:space="preserve"> </w:t>
      </w:r>
      <w:r>
        <w:rPr>
          <w:rFonts w:ascii="Arial;sans-serif" w:hAnsi="Arial;sans-serif"/>
          <w:b/>
          <w:color w:val="000000"/>
          <w:sz w:val="22"/>
        </w:rPr>
        <w:t>Healthcare</w:t>
      </w:r>
      <w:r>
        <w:rPr>
          <w:color w:val="000000"/>
        </w:rPr>
        <w:t xml:space="preserve"> </w:t>
      </w:r>
      <w:r>
        <w:rPr>
          <w:rFonts w:ascii="Arial;sans-serif" w:hAnsi="Arial;sans-serif"/>
          <w:b/>
          <w:color w:val="000000"/>
          <w:sz w:val="22"/>
        </w:rPr>
        <w:t>Inc.</w:t>
      </w:r>
      <w:r>
        <w:rPr>
          <w:color w:val="000000"/>
        </w:rPr>
        <w:t xml:space="preserve"> </w:t>
      </w:r>
      <w:r>
        <w:rPr>
          <w:rFonts w:ascii="Arial;sans-serif" w:hAnsi="Arial;sans-serif"/>
          <w:b/>
          <w:color w:val="000000"/>
          <w:sz w:val="22"/>
        </w:rPr>
        <w:t>Announces</w:t>
      </w:r>
      <w:r>
        <w:rPr>
          <w:color w:val="000000"/>
        </w:rPr>
        <w:t xml:space="preserve"> </w:t>
      </w:r>
      <w:r>
        <w:rPr>
          <w:rFonts w:ascii="Arial;sans-serif" w:hAnsi="Arial;sans-serif"/>
          <w:b/>
          <w:color w:val="000000"/>
          <w:sz w:val="22"/>
        </w:rPr>
        <w:t>Offering</w:t>
      </w:r>
      <w:r>
        <w:rPr>
          <w:color w:val="000000"/>
        </w:rPr>
        <w:t xml:space="preserve"> </w:t>
      </w:r>
      <w:r>
        <w:rPr>
          <w:rFonts w:ascii="Arial;sans-serif" w:hAnsi="Arial;sans-serif"/>
          <w:b/>
          <w:color w:val="000000"/>
          <w:sz w:val="22"/>
        </w:rPr>
        <w:t>of</w:t>
      </w:r>
      <w:r>
        <w:rPr>
          <w:color w:val="000000"/>
        </w:rPr>
        <w:t xml:space="preserve"> </w:t>
      </w:r>
      <w:r>
        <w:rPr>
          <w:rFonts w:ascii="Arial;sans-serif" w:hAnsi="Arial;sans-serif"/>
          <w:b/>
          <w:color w:val="000000"/>
          <w:sz w:val="22"/>
        </w:rPr>
        <w:t>$400</w:t>
      </w:r>
      <w:r>
        <w:rPr>
          <w:color w:val="000000"/>
        </w:rPr>
        <w:t xml:space="preserve"> </w:t>
      </w:r>
      <w:r>
        <w:rPr>
          <w:rFonts w:ascii="Arial;sans-serif" w:hAnsi="Arial;sans-serif"/>
          <w:b/>
          <w:color w:val="000000"/>
          <w:sz w:val="22"/>
        </w:rPr>
        <w:t>Million</w:t>
      </w:r>
      <w:r>
        <w:rPr>
          <w:color w:val="000000"/>
        </w:rPr>
        <w:t xml:space="preserve"> </w:t>
      </w:r>
      <w:r>
        <w:rPr>
          <w:rFonts w:ascii="Arial;sans-serif" w:hAnsi="Arial;sans-serif"/>
          <w:b/>
          <w:color w:val="000000"/>
          <w:sz w:val="22"/>
        </w:rPr>
        <w:t>Senior</w:t>
      </w:r>
      <w:r>
        <w:rPr>
          <w:color w:val="000000"/>
        </w:rPr>
        <w:t xml:space="preserve"> </w:t>
      </w:r>
      <w:r>
        <w:rPr>
          <w:rFonts w:ascii="Arial;sans-serif" w:hAnsi="Arial;sans-serif"/>
          <w:b/>
          <w:color w:val="000000"/>
          <w:sz w:val="22"/>
        </w:rPr>
        <w:t>Notes</w:t>
      </w:r>
    </w:p>
    <w:p>
      <w:pPr>
        <w:pStyle w:val="TextBody"/>
        <w:bidi w:val="0"/>
        <w:spacing w:lineRule="auto" w:line="288" w:before="185" w:after="283"/>
        <w:jc w:val="left"/>
        <w:rPr>
          <w:rFonts w:ascii="Arial;sans-serif" w:hAnsi="Arial;sans-serif"/>
          <w:b w:val="false"/>
          <w:color w:val="000000"/>
          <w:sz w:val="18"/>
        </w:rPr>
      </w:pPr>
      <w:r>
        <w:rPr>
          <w:rFonts w:ascii="Arial;sans-serif" w:hAnsi="Arial;sans-serif"/>
          <w:b w:val="false"/>
          <w:color w:val="000000"/>
          <w:sz w:val="18"/>
        </w:rPr>
        <w:t>July 6, 2026</w:t>
      </w:r>
    </w:p>
    <w:p>
      <w:pPr>
        <w:pStyle w:val="TextBody"/>
        <w:bidi w:val="0"/>
        <w:spacing w:lineRule="auto" w:line="302" w:before="181" w:after="283"/>
        <w:jc w:val="left"/>
        <w:rPr/>
      </w:pPr>
      <w:r>
        <w:rPr>
          <w:rFonts w:ascii="Arial;sans-serif" w:hAnsi="Arial;sans-serif"/>
          <w:b w:val="false"/>
          <w:color w:val="000000"/>
          <w:sz w:val="16"/>
        </w:rPr>
        <w:t>TARRYTOWN,</w:t>
      </w:r>
      <w:r>
        <w:rPr>
          <w:color w:val="000000"/>
        </w:rPr>
        <w:t xml:space="preserve"> </w:t>
      </w:r>
      <w:r>
        <w:rPr>
          <w:rFonts w:ascii="Arial;sans-serif" w:hAnsi="Arial;sans-serif"/>
          <w:b w:val="false"/>
          <w:color w:val="000000"/>
          <w:sz w:val="16"/>
        </w:rPr>
        <w:t>N.Y.,</w:t>
      </w:r>
      <w:r>
        <w:rPr>
          <w:color w:val="000000"/>
        </w:rPr>
        <w:t xml:space="preserve"> </w:t>
      </w:r>
      <w:r>
        <w:rPr>
          <w:rFonts w:ascii="Arial;sans-serif" w:hAnsi="Arial;sans-serif"/>
          <w:b w:val="false"/>
          <w:color w:val="000000"/>
          <w:sz w:val="16"/>
        </w:rPr>
        <w:t>July 6,</w:t>
      </w:r>
      <w:r>
        <w:rPr>
          <w:color w:val="000000"/>
        </w:rPr>
        <w:t xml:space="preserve"> </w:t>
      </w:r>
      <w:r>
        <w:rPr>
          <w:rFonts w:ascii="Arial;sans-serif" w:hAnsi="Arial;sans-serif"/>
          <w:b w:val="false"/>
          <w:color w:val="000000"/>
          <w:sz w:val="16"/>
        </w:rPr>
        <w:t>2026</w:t>
      </w:r>
      <w:r>
        <w:rPr>
          <w:color w:val="000000"/>
        </w:rPr>
        <w:t xml:space="preserve"> </w:t>
      </w:r>
      <w:r>
        <w:rPr>
          <w:rFonts w:ascii="Arial;sans-serif" w:hAnsi="Arial;sans-serif"/>
          <w:b w:val="false"/>
          <w:color w:val="000000"/>
          <w:sz w:val="16"/>
        </w:rPr>
        <w:t>(GLOBE</w:t>
      </w:r>
      <w:r>
        <w:rPr>
          <w:color w:val="000000"/>
        </w:rPr>
        <w:t xml:space="preserve"> </w:t>
      </w:r>
      <w:r>
        <w:rPr>
          <w:rFonts w:ascii="Arial;sans-serif" w:hAnsi="Arial;sans-serif"/>
          <w:b w:val="false"/>
          <w:color w:val="000000"/>
          <w:sz w:val="16"/>
        </w:rPr>
        <w:t>NEWSWIRE)</w:t>
      </w:r>
      <w:r>
        <w:rPr>
          <w:color w:val="000000"/>
        </w:rPr>
        <w:t xml:space="preserve"> </w:t>
      </w:r>
      <w:r>
        <w:rPr>
          <w:rFonts w:ascii="Arial;sans-serif" w:hAnsi="Arial;sans-serif"/>
          <w:b w:val="false"/>
          <w:color w:val="000000"/>
          <w:sz w:val="16"/>
        </w:rPr>
        <w:t>--</w:t>
      </w:r>
      <w:r>
        <w:rPr>
          <w:color w:val="000000"/>
        </w:rPr>
        <w:t xml:space="preserve"> </w:t>
      </w:r>
      <w:r>
        <w:rPr>
          <w:rFonts w:ascii="Arial;sans-serif" w:hAnsi="Arial;sans-serif"/>
          <w:b w:val="false"/>
          <w:color w:val="000000"/>
          <w:sz w:val="16"/>
        </w:rPr>
        <w:t>Prestige</w:t>
      </w:r>
      <w:r>
        <w:rPr>
          <w:color w:val="000000"/>
        </w:rPr>
        <w:t xml:space="preserve"> </w:t>
      </w:r>
      <w:r>
        <w:rPr>
          <w:rFonts w:ascii="Arial;sans-serif" w:hAnsi="Arial;sans-serif"/>
          <w:b w:val="false"/>
          <w:color w:val="000000"/>
          <w:sz w:val="16"/>
        </w:rPr>
        <w:t>Consumer</w:t>
      </w:r>
      <w:r>
        <w:rPr>
          <w:color w:val="000000"/>
        </w:rPr>
        <w:t xml:space="preserve"> </w:t>
      </w:r>
      <w:r>
        <w:rPr>
          <w:rFonts w:ascii="Arial;sans-serif" w:hAnsi="Arial;sans-serif"/>
          <w:b w:val="false"/>
          <w:color w:val="000000"/>
          <w:sz w:val="16"/>
        </w:rPr>
        <w:t>Healthcare</w:t>
      </w:r>
      <w:r>
        <w:rPr>
          <w:color w:val="000000"/>
        </w:rPr>
        <w:t xml:space="preserve"> </w:t>
      </w:r>
      <w:r>
        <w:rPr>
          <w:rFonts w:ascii="Arial;sans-serif" w:hAnsi="Arial;sans-serif"/>
          <w:b w:val="false"/>
          <w:color w:val="000000"/>
          <w:sz w:val="16"/>
        </w:rPr>
        <w:t>Inc.</w:t>
      </w:r>
      <w:r>
        <w:rPr>
          <w:color w:val="000000"/>
        </w:rPr>
        <w:t xml:space="preserve"> </w:t>
      </w:r>
      <w:r>
        <w:rPr>
          <w:rFonts w:ascii="Arial;sans-serif" w:hAnsi="Arial;sans-serif"/>
          <w:b w:val="false"/>
          <w:color w:val="000000"/>
          <w:sz w:val="16"/>
        </w:rPr>
        <w:t>(NYSE:</w:t>
      </w:r>
      <w:r>
        <w:rPr>
          <w:color w:val="000000"/>
        </w:rPr>
        <w:t xml:space="preserve"> </w:t>
      </w:r>
      <w:r>
        <w:rPr>
          <w:rFonts w:ascii="Arial;sans-serif" w:hAnsi="Arial;sans-serif"/>
          <w:b w:val="false"/>
          <w:color w:val="000000"/>
          <w:sz w:val="16"/>
        </w:rPr>
        <w:t>PBH)</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Company”)</w:t>
      </w:r>
      <w:r>
        <w:rPr>
          <w:color w:val="000000"/>
        </w:rPr>
        <w:t xml:space="preserve"> </w:t>
      </w:r>
      <w:r>
        <w:rPr>
          <w:rFonts w:ascii="Arial;sans-serif" w:hAnsi="Arial;sans-serif"/>
          <w:b w:val="false"/>
          <w:color w:val="000000"/>
          <w:sz w:val="16"/>
        </w:rPr>
        <w:t>announced</w:t>
      </w:r>
      <w:r>
        <w:rPr>
          <w:color w:val="000000"/>
        </w:rPr>
        <w:t xml:space="preserve"> </w:t>
      </w:r>
      <w:r>
        <w:rPr>
          <w:rFonts w:ascii="Arial;sans-serif" w:hAnsi="Arial;sans-serif"/>
          <w:b w:val="false"/>
          <w:color w:val="000000"/>
          <w:sz w:val="16"/>
        </w:rPr>
        <w:t>today</w:t>
      </w:r>
      <w:r>
        <w:rPr>
          <w:color w:val="000000"/>
        </w:rPr>
        <w:t xml:space="preserve"> </w:t>
      </w:r>
      <w:r>
        <w:rPr>
          <w:rFonts w:ascii="Arial;sans-serif" w:hAnsi="Arial;sans-serif"/>
          <w:b w:val="false"/>
          <w:color w:val="000000"/>
          <w:sz w:val="16"/>
        </w:rPr>
        <w:t>that its wholly-owned subsidiary, Prestige Brands, Inc. (“Prestige Brands”), intends to offer, subject to market and other conditions, up to</w:t>
      </w:r>
      <w:r>
        <w:rPr>
          <w:color w:val="000000"/>
        </w:rPr>
        <w:t xml:space="preserve"> </w:t>
      </w:r>
      <w:r>
        <w:rPr>
          <w:rFonts w:ascii="Arial;sans-serif" w:hAnsi="Arial;sans-serif"/>
          <w:b w:val="false"/>
          <w:color w:val="000000"/>
          <w:sz w:val="16"/>
        </w:rPr>
        <w:t>$400 million</w:t>
      </w:r>
      <w:r>
        <w:rPr>
          <w:color w:val="000000"/>
        </w:rPr>
        <w:t xml:space="preserve"> </w:t>
      </w:r>
      <w:r>
        <w:rPr>
          <w:rFonts w:ascii="Arial;sans-serif" w:hAnsi="Arial;sans-serif"/>
          <w:b w:val="false"/>
          <w:color w:val="000000"/>
          <w:sz w:val="16"/>
        </w:rPr>
        <w:t>in aggregate</w:t>
      </w:r>
      <w:r>
        <w:rPr>
          <w:color w:val="000000"/>
        </w:rPr>
        <w:t xml:space="preserve"> </w:t>
      </w:r>
      <w:r>
        <w:rPr>
          <w:rFonts w:ascii="Arial;sans-serif" w:hAnsi="Arial;sans-serif"/>
          <w:b w:val="false"/>
          <w:color w:val="000000"/>
          <w:sz w:val="16"/>
        </w:rPr>
        <w:t>principal</w:t>
      </w:r>
      <w:r>
        <w:rPr>
          <w:color w:val="000000"/>
        </w:rPr>
        <w:t xml:space="preserve"> </w:t>
      </w:r>
      <w:r>
        <w:rPr>
          <w:rFonts w:ascii="Arial;sans-serif" w:hAnsi="Arial;sans-serif"/>
          <w:b w:val="false"/>
          <w:color w:val="000000"/>
          <w:sz w:val="16"/>
        </w:rPr>
        <w:t>amount</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new</w:t>
      </w:r>
      <w:r>
        <w:rPr>
          <w:color w:val="000000"/>
        </w:rPr>
        <w:t xml:space="preserve"> </w:t>
      </w:r>
      <w:r>
        <w:rPr>
          <w:rFonts w:ascii="Arial;sans-serif" w:hAnsi="Arial;sans-serif"/>
          <w:b w:val="false"/>
          <w:color w:val="000000"/>
          <w:sz w:val="16"/>
        </w:rPr>
        <w:t>senior</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due</w:t>
      </w:r>
      <w:r>
        <w:rPr>
          <w:color w:val="000000"/>
        </w:rPr>
        <w:t xml:space="preserve"> </w:t>
      </w:r>
      <w:r>
        <w:rPr>
          <w:rFonts w:ascii="Arial;sans-serif" w:hAnsi="Arial;sans-serif"/>
          <w:b w:val="false"/>
          <w:color w:val="000000"/>
          <w:sz w:val="16"/>
        </w:rPr>
        <w:t>2034</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a</w:t>
      </w:r>
      <w:r>
        <w:rPr>
          <w:color w:val="000000"/>
        </w:rPr>
        <w:t xml:space="preserve"> </w:t>
      </w:r>
      <w:r>
        <w:rPr>
          <w:rFonts w:ascii="Arial;sans-serif" w:hAnsi="Arial;sans-serif"/>
          <w:b w:val="false"/>
          <w:color w:val="000000"/>
          <w:sz w:val="16"/>
        </w:rPr>
        <w:t>private</w:t>
      </w:r>
      <w:r>
        <w:rPr>
          <w:color w:val="000000"/>
        </w:rPr>
        <w:t xml:space="preserve"> </w:t>
      </w:r>
      <w:r>
        <w:rPr>
          <w:rFonts w:ascii="Arial;sans-serif" w:hAnsi="Arial;sans-serif"/>
          <w:b w:val="false"/>
          <w:color w:val="000000"/>
          <w:sz w:val="16"/>
        </w:rPr>
        <w:t>offering.</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will</w:t>
      </w:r>
      <w:r>
        <w:rPr>
          <w:color w:val="000000"/>
        </w:rPr>
        <w:t xml:space="preserve"> </w:t>
      </w:r>
      <w:r>
        <w:rPr>
          <w:rFonts w:ascii="Arial;sans-serif" w:hAnsi="Arial;sans-serif"/>
          <w:b w:val="false"/>
          <w:color w:val="000000"/>
          <w:sz w:val="16"/>
        </w:rPr>
        <w:t>be</w:t>
      </w:r>
      <w:r>
        <w:rPr>
          <w:color w:val="000000"/>
        </w:rPr>
        <w:t xml:space="preserve"> </w:t>
      </w:r>
      <w:r>
        <w:rPr>
          <w:rFonts w:ascii="Arial;sans-serif" w:hAnsi="Arial;sans-serif"/>
          <w:b w:val="false"/>
          <w:color w:val="000000"/>
          <w:sz w:val="16"/>
        </w:rPr>
        <w:t>senior</w:t>
      </w:r>
      <w:r>
        <w:rPr>
          <w:color w:val="000000"/>
        </w:rPr>
        <w:t xml:space="preserve"> </w:t>
      </w:r>
      <w:r>
        <w:rPr>
          <w:rFonts w:ascii="Arial;sans-serif" w:hAnsi="Arial;sans-serif"/>
          <w:b w:val="false"/>
          <w:color w:val="000000"/>
          <w:sz w:val="16"/>
        </w:rPr>
        <w:t>unsecured</w:t>
      </w:r>
      <w:r>
        <w:rPr>
          <w:color w:val="000000"/>
        </w:rPr>
        <w:t xml:space="preserve"> </w:t>
      </w:r>
      <w:r>
        <w:rPr>
          <w:rFonts w:ascii="Arial;sans-serif" w:hAnsi="Arial;sans-serif"/>
          <w:b w:val="false"/>
          <w:color w:val="000000"/>
          <w:sz w:val="16"/>
        </w:rPr>
        <w:t>obligations</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Prestige Brands and will be guaranteed by the Company and certain of its domestic subsidiaries.</w:t>
      </w:r>
    </w:p>
    <w:p>
      <w:pPr>
        <w:pStyle w:val="TextBody"/>
        <w:bidi w:val="0"/>
        <w:spacing w:lineRule="auto" w:line="302" w:before="149" w:after="283"/>
        <w:jc w:val="left"/>
        <w:rPr/>
      </w:pP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Company</w:t>
      </w:r>
      <w:r>
        <w:rPr>
          <w:color w:val="000000"/>
        </w:rPr>
        <w:t xml:space="preserve"> </w:t>
      </w:r>
      <w:r>
        <w:rPr>
          <w:rFonts w:ascii="Arial;sans-serif" w:hAnsi="Arial;sans-serif"/>
          <w:b w:val="false"/>
          <w:color w:val="000000"/>
          <w:sz w:val="16"/>
        </w:rPr>
        <w:t>intends</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use</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net proceeds</w:t>
      </w:r>
      <w:r>
        <w:rPr>
          <w:color w:val="000000"/>
        </w:rPr>
        <w:t xml:space="preserve"> </w:t>
      </w:r>
      <w:r>
        <w:rPr>
          <w:rFonts w:ascii="Arial;sans-serif" w:hAnsi="Arial;sans-serif"/>
          <w:b w:val="false"/>
          <w:color w:val="000000"/>
          <w:sz w:val="16"/>
        </w:rPr>
        <w:t>from</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proposed</w:t>
      </w:r>
      <w:r>
        <w:rPr>
          <w:color w:val="000000"/>
        </w:rPr>
        <w:t xml:space="preserve"> </w:t>
      </w:r>
      <w:r>
        <w:rPr>
          <w:rFonts w:ascii="Arial;sans-serif" w:hAnsi="Arial;sans-serif"/>
          <w:b w:val="false"/>
          <w:color w:val="000000"/>
          <w:sz w:val="16"/>
        </w:rPr>
        <w:t>offering, together</w:t>
      </w:r>
      <w:r>
        <w:rPr>
          <w:color w:val="000000"/>
        </w:rPr>
        <w:t xml:space="preserve"> </w:t>
      </w:r>
      <w:r>
        <w:rPr>
          <w:rFonts w:ascii="Arial;sans-serif" w:hAnsi="Arial;sans-serif"/>
          <w:b w:val="false"/>
          <w:color w:val="000000"/>
          <w:sz w:val="16"/>
        </w:rPr>
        <w:t>with</w:t>
      </w:r>
      <w:r>
        <w:rPr>
          <w:color w:val="000000"/>
        </w:rPr>
        <w:t xml:space="preserve"> </w:t>
      </w:r>
      <w:r>
        <w:rPr>
          <w:rFonts w:ascii="Arial;sans-serif" w:hAnsi="Arial;sans-serif"/>
          <w:b w:val="false"/>
          <w:color w:val="000000"/>
          <w:sz w:val="16"/>
        </w:rPr>
        <w:t>cash</w:t>
      </w:r>
      <w:r>
        <w:rPr>
          <w:color w:val="000000"/>
        </w:rPr>
        <w:t xml:space="preserve"> </w:t>
      </w:r>
      <w:r>
        <w:rPr>
          <w:rFonts w:ascii="Arial;sans-serif" w:hAnsi="Arial;sans-serif"/>
          <w:b w:val="false"/>
          <w:color w:val="000000"/>
          <w:sz w:val="16"/>
        </w:rPr>
        <w:t>on</w:t>
      </w:r>
      <w:r>
        <w:rPr>
          <w:color w:val="000000"/>
        </w:rPr>
        <w:t xml:space="preserve"> </w:t>
      </w:r>
      <w:r>
        <w:rPr>
          <w:rFonts w:ascii="Arial;sans-serif" w:hAnsi="Arial;sans-serif"/>
          <w:b w:val="false"/>
          <w:color w:val="000000"/>
          <w:sz w:val="16"/>
        </w:rPr>
        <w:t>hand,</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redeem</w:t>
      </w:r>
      <w:r>
        <w:rPr>
          <w:color w:val="000000"/>
        </w:rPr>
        <w:t xml:space="preserve"> </w:t>
      </w:r>
      <w:r>
        <w:rPr>
          <w:rFonts w:ascii="Arial;sans-serif" w:hAnsi="Arial;sans-serif"/>
          <w:b w:val="false"/>
          <w:color w:val="000000"/>
          <w:sz w:val="16"/>
        </w:rPr>
        <w:t>all</w:t>
      </w:r>
      <w:r>
        <w:rPr>
          <w:color w:val="000000"/>
        </w:rPr>
        <w:t xml:space="preserve"> </w:t>
      </w:r>
      <w:r>
        <w:rPr>
          <w:rFonts w:ascii="Arial;sans-serif" w:hAnsi="Arial;sans-serif"/>
          <w:b w:val="false"/>
          <w:color w:val="000000"/>
          <w:sz w:val="16"/>
        </w:rPr>
        <w:t>$400 million</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Prestige</w:t>
      </w:r>
      <w:r>
        <w:rPr>
          <w:color w:val="000000"/>
        </w:rPr>
        <w:t xml:space="preserve"> </w:t>
      </w:r>
      <w:r>
        <w:rPr>
          <w:rFonts w:ascii="Arial;sans-serif" w:hAnsi="Arial;sans-serif"/>
          <w:b w:val="false"/>
          <w:color w:val="000000"/>
          <w:sz w:val="16"/>
        </w:rPr>
        <w:t>Brands’</w:t>
      </w:r>
      <w:r>
        <w:rPr>
          <w:color w:val="000000"/>
        </w:rPr>
        <w:t xml:space="preserve"> </w:t>
      </w:r>
      <w:r>
        <w:rPr>
          <w:rFonts w:ascii="Arial;sans-serif" w:hAnsi="Arial;sans-serif"/>
          <w:b w:val="false"/>
          <w:color w:val="000000"/>
          <w:sz w:val="16"/>
        </w:rPr>
        <w:t>outstanding</w:t>
      </w:r>
      <w:r>
        <w:rPr>
          <w:color w:val="000000"/>
        </w:rPr>
        <w:t xml:space="preserve"> </w:t>
      </w:r>
      <w:r>
        <w:rPr>
          <w:rFonts w:ascii="Arial;sans-serif" w:hAnsi="Arial;sans-serif"/>
          <w:b w:val="false"/>
          <w:color w:val="000000"/>
          <w:sz w:val="16"/>
        </w:rPr>
        <w:t>5.125%</w:t>
      </w:r>
      <w:r>
        <w:rPr>
          <w:color w:val="000000"/>
        </w:rPr>
        <w:t xml:space="preserve"> </w:t>
      </w:r>
      <w:r>
        <w:rPr>
          <w:rFonts w:ascii="Arial;sans-serif" w:hAnsi="Arial;sans-serif"/>
          <w:b w:val="false"/>
          <w:color w:val="000000"/>
          <w:sz w:val="16"/>
        </w:rPr>
        <w:t>Senior</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due</w:t>
      </w:r>
      <w:r>
        <w:rPr>
          <w:color w:val="000000"/>
        </w:rPr>
        <w:t xml:space="preserve"> </w:t>
      </w:r>
      <w:r>
        <w:rPr>
          <w:rFonts w:ascii="Arial;sans-serif" w:hAnsi="Arial;sans-serif"/>
          <w:b w:val="false"/>
          <w:color w:val="000000"/>
          <w:sz w:val="16"/>
        </w:rPr>
        <w:t>2028</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2028</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pay</w:t>
      </w:r>
      <w:r>
        <w:rPr>
          <w:color w:val="000000"/>
        </w:rPr>
        <w:t xml:space="preserve"> </w:t>
      </w:r>
      <w:r>
        <w:rPr>
          <w:rFonts w:ascii="Arial;sans-serif" w:hAnsi="Arial;sans-serif"/>
          <w:b w:val="false"/>
          <w:color w:val="000000"/>
          <w:sz w:val="16"/>
        </w:rPr>
        <w:t>related</w:t>
      </w:r>
      <w:r>
        <w:rPr>
          <w:color w:val="000000"/>
        </w:rPr>
        <w:t xml:space="preserve"> </w:t>
      </w:r>
      <w:r>
        <w:rPr>
          <w:rFonts w:ascii="Arial;sans-serif" w:hAnsi="Arial;sans-serif"/>
          <w:b w:val="false"/>
          <w:color w:val="000000"/>
          <w:sz w:val="16"/>
        </w:rPr>
        <w:t>fees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expenses.</w:t>
      </w:r>
    </w:p>
    <w:p>
      <w:pPr>
        <w:pStyle w:val="TextBody"/>
        <w:bidi w:val="0"/>
        <w:spacing w:lineRule="auto" w:line="302" w:before="148" w:after="283"/>
        <w:jc w:val="both"/>
        <w:rPr/>
      </w:pPr>
      <w:r>
        <w:rPr>
          <w:rFonts w:ascii="Arial;sans-serif" w:hAnsi="Arial;sans-serif"/>
          <w:b w:val="false"/>
          <w:color w:val="000000"/>
          <w:sz w:val="16"/>
        </w:rPr>
        <w:t>Prestige Brands expects to give notice of its intention to redeem the 2028 notes pursuant to the indenture governing the 2028 notes, at a redemption price</w:t>
      </w:r>
      <w:r>
        <w:rPr>
          <w:color w:val="000000"/>
        </w:rPr>
        <w:t xml:space="preserve"> </w:t>
      </w:r>
      <w:r>
        <w:rPr>
          <w:rFonts w:ascii="Arial;sans-serif" w:hAnsi="Arial;sans-serif"/>
          <w:b w:val="false"/>
          <w:color w:val="000000"/>
          <w:sz w:val="16"/>
        </w:rPr>
        <w:t>equal to</w:t>
      </w:r>
      <w:r>
        <w:rPr>
          <w:color w:val="000000"/>
        </w:rPr>
        <w:t xml:space="preserve"> </w:t>
      </w:r>
      <w:r>
        <w:rPr>
          <w:rFonts w:ascii="Arial;sans-serif" w:hAnsi="Arial;sans-serif"/>
          <w:b w:val="false"/>
          <w:color w:val="000000"/>
          <w:sz w:val="16"/>
        </w:rPr>
        <w:t>100.0%</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principal</w:t>
      </w:r>
      <w:r>
        <w:rPr>
          <w:color w:val="000000"/>
        </w:rPr>
        <w:t xml:space="preserve"> </w:t>
      </w:r>
      <w:r>
        <w:rPr>
          <w:rFonts w:ascii="Arial;sans-serif" w:hAnsi="Arial;sans-serif"/>
          <w:b w:val="false"/>
          <w:color w:val="000000"/>
          <w:sz w:val="16"/>
        </w:rPr>
        <w:t>amount</w:t>
      </w:r>
      <w:r>
        <w:rPr>
          <w:color w:val="000000"/>
        </w:rPr>
        <w:t xml:space="preserve"> </w:t>
      </w:r>
      <w:r>
        <w:rPr>
          <w:rFonts w:ascii="Arial;sans-serif" w:hAnsi="Arial;sans-serif"/>
          <w:b w:val="false"/>
          <w:color w:val="000000"/>
          <w:sz w:val="16"/>
        </w:rPr>
        <w:t>thereof,</w:t>
      </w:r>
      <w:r>
        <w:rPr>
          <w:color w:val="000000"/>
        </w:rPr>
        <w:t xml:space="preserve"> </w:t>
      </w:r>
      <w:r>
        <w:rPr>
          <w:rFonts w:ascii="Arial;sans-serif" w:hAnsi="Arial;sans-serif"/>
          <w:b w:val="false"/>
          <w:color w:val="000000"/>
          <w:sz w:val="16"/>
        </w:rPr>
        <w:t>plus</w:t>
      </w:r>
      <w:r>
        <w:rPr>
          <w:color w:val="000000"/>
        </w:rPr>
        <w:t xml:space="preserve"> </w:t>
      </w:r>
      <w:r>
        <w:rPr>
          <w:rFonts w:ascii="Arial;sans-serif" w:hAnsi="Arial;sans-serif"/>
          <w:b w:val="false"/>
          <w:color w:val="000000"/>
          <w:sz w:val="16"/>
        </w:rPr>
        <w:t>accrued</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unpaid</w:t>
      </w:r>
      <w:r>
        <w:rPr>
          <w:color w:val="000000"/>
        </w:rPr>
        <w:t xml:space="preserve"> </w:t>
      </w:r>
      <w:r>
        <w:rPr>
          <w:rFonts w:ascii="Arial;sans-serif" w:hAnsi="Arial;sans-serif"/>
          <w:b w:val="false"/>
          <w:color w:val="000000"/>
          <w:sz w:val="16"/>
        </w:rPr>
        <w:t>interest</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date</w:t>
      </w:r>
      <w:r>
        <w:rPr>
          <w:color w:val="000000"/>
        </w:rPr>
        <w:t xml:space="preserve"> </w:t>
      </w:r>
      <w:r>
        <w:rPr>
          <w:rFonts w:ascii="Arial;sans-serif" w:hAnsi="Arial;sans-serif"/>
          <w:b w:val="false"/>
          <w:color w:val="000000"/>
          <w:sz w:val="16"/>
        </w:rPr>
        <w:t>of redemption.</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redemption</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2028</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is</w:t>
      </w:r>
      <w:r>
        <w:rPr>
          <w:color w:val="000000"/>
        </w:rPr>
        <w:t xml:space="preserve"> </w:t>
      </w:r>
      <w:r>
        <w:rPr>
          <w:rFonts w:ascii="Arial;sans-serif" w:hAnsi="Arial;sans-serif"/>
          <w:b w:val="false"/>
          <w:color w:val="000000"/>
          <w:sz w:val="16"/>
        </w:rPr>
        <w:t>conditioned</w:t>
      </w:r>
      <w:r>
        <w:rPr>
          <w:color w:val="000000"/>
        </w:rPr>
        <w:t xml:space="preserve"> </w:t>
      </w:r>
      <w:r>
        <w:rPr>
          <w:rFonts w:ascii="Arial;sans-serif" w:hAnsi="Arial;sans-serif"/>
          <w:b w:val="false"/>
          <w:color w:val="000000"/>
          <w:sz w:val="16"/>
        </w:rPr>
        <w:t>on</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completion</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an</w:t>
      </w:r>
      <w:r>
        <w:rPr>
          <w:color w:val="000000"/>
        </w:rPr>
        <w:t xml:space="preserve"> </w:t>
      </w:r>
      <w:r>
        <w:rPr>
          <w:rFonts w:ascii="Arial;sans-serif" w:hAnsi="Arial;sans-serif"/>
          <w:b w:val="false"/>
          <w:color w:val="000000"/>
          <w:sz w:val="16"/>
        </w:rPr>
        <w:t>offering</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new</w:t>
      </w:r>
      <w:r>
        <w:rPr>
          <w:color w:val="000000"/>
        </w:rPr>
        <w:t xml:space="preserve"> </w:t>
      </w:r>
      <w:r>
        <w:rPr>
          <w:rFonts w:ascii="Arial;sans-serif" w:hAnsi="Arial;sans-serif"/>
          <w:b w:val="false"/>
          <w:color w:val="000000"/>
          <w:sz w:val="16"/>
        </w:rPr>
        <w:t>unsecured</w:t>
      </w:r>
      <w:r>
        <w:rPr>
          <w:color w:val="000000"/>
        </w:rPr>
        <w:t xml:space="preserve"> </w:t>
      </w:r>
      <w:r>
        <w:rPr>
          <w:rFonts w:ascii="Arial;sans-serif" w:hAnsi="Arial;sans-serif"/>
          <w:b w:val="false"/>
          <w:color w:val="000000"/>
          <w:sz w:val="16"/>
        </w:rPr>
        <w:t>senior</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an</w:t>
      </w:r>
      <w:r>
        <w:rPr>
          <w:color w:val="000000"/>
        </w:rPr>
        <w:t xml:space="preserve"> </w:t>
      </w:r>
      <w:r>
        <w:rPr>
          <w:rFonts w:ascii="Arial;sans-serif" w:hAnsi="Arial;sans-serif"/>
          <w:b w:val="false"/>
          <w:color w:val="000000"/>
          <w:sz w:val="16"/>
        </w:rPr>
        <w:t>aggregate</w:t>
      </w:r>
      <w:r>
        <w:rPr>
          <w:color w:val="000000"/>
        </w:rPr>
        <w:t xml:space="preserve"> </w:t>
      </w:r>
      <w:r>
        <w:rPr>
          <w:rFonts w:ascii="Arial;sans-serif" w:hAnsi="Arial;sans-serif"/>
          <w:b w:val="false"/>
          <w:color w:val="000000"/>
          <w:sz w:val="16"/>
        </w:rPr>
        <w:t>principal amount</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at</w:t>
      </w:r>
      <w:r>
        <w:rPr>
          <w:color w:val="000000"/>
        </w:rPr>
        <w:t xml:space="preserve"> </w:t>
      </w:r>
      <w:r>
        <w:rPr>
          <w:rFonts w:ascii="Arial;sans-serif" w:hAnsi="Arial;sans-serif"/>
          <w:b w:val="false"/>
          <w:color w:val="000000"/>
          <w:sz w:val="16"/>
        </w:rPr>
        <w:t>least</w:t>
      </w:r>
      <w:r>
        <w:rPr>
          <w:color w:val="000000"/>
        </w:rPr>
        <w:t xml:space="preserve"> </w:t>
      </w:r>
      <w:r>
        <w:rPr>
          <w:rFonts w:ascii="Arial;sans-serif" w:hAnsi="Arial;sans-serif"/>
          <w:b w:val="false"/>
          <w:color w:val="000000"/>
          <w:sz w:val="16"/>
        </w:rPr>
        <w:t>$400</w:t>
      </w:r>
      <w:r>
        <w:rPr>
          <w:color w:val="000000"/>
        </w:rPr>
        <w:t xml:space="preserve"> </w:t>
      </w:r>
      <w:r>
        <w:rPr>
          <w:rFonts w:ascii="Arial;sans-serif" w:hAnsi="Arial;sans-serif"/>
          <w:b w:val="false"/>
          <w:color w:val="000000"/>
          <w:sz w:val="16"/>
        </w:rPr>
        <w:t>million</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Financing</w:t>
      </w:r>
      <w:r>
        <w:rPr>
          <w:color w:val="000000"/>
        </w:rPr>
        <w:t xml:space="preserve"> </w:t>
      </w:r>
      <w:r>
        <w:rPr>
          <w:rFonts w:ascii="Arial;sans-serif" w:hAnsi="Arial;sans-serif"/>
          <w:b w:val="false"/>
          <w:color w:val="000000"/>
          <w:sz w:val="16"/>
        </w:rPr>
        <w:t>Condition”).</w:t>
      </w:r>
      <w:r>
        <w:rPr>
          <w:color w:val="000000"/>
        </w:rPr>
        <w:t xml:space="preserve"> </w:t>
      </w:r>
      <w:r>
        <w:rPr>
          <w:rFonts w:ascii="Arial;sans-serif" w:hAnsi="Arial;sans-serif"/>
          <w:b w:val="false"/>
          <w:color w:val="000000"/>
          <w:sz w:val="16"/>
        </w:rPr>
        <w:t>Prestige</w:t>
      </w:r>
      <w:r>
        <w:rPr>
          <w:color w:val="000000"/>
        </w:rPr>
        <w:t xml:space="preserve"> </w:t>
      </w:r>
      <w:r>
        <w:rPr>
          <w:rFonts w:ascii="Arial;sans-serif" w:hAnsi="Arial;sans-serif"/>
          <w:b w:val="false"/>
          <w:color w:val="000000"/>
          <w:sz w:val="16"/>
        </w:rPr>
        <w:t>Brands</w:t>
      </w:r>
      <w:r>
        <w:rPr>
          <w:color w:val="000000"/>
        </w:rPr>
        <w:t xml:space="preserve"> </w:t>
      </w:r>
      <w:r>
        <w:rPr>
          <w:rFonts w:ascii="Arial;sans-serif" w:hAnsi="Arial;sans-serif"/>
          <w:b w:val="false"/>
          <w:color w:val="000000"/>
          <w:sz w:val="16"/>
        </w:rPr>
        <w:t>may</w:t>
      </w:r>
      <w:r>
        <w:rPr>
          <w:color w:val="000000"/>
        </w:rPr>
        <w:t xml:space="preserve"> </w:t>
      </w:r>
      <w:r>
        <w:rPr>
          <w:rFonts w:ascii="Arial;sans-serif" w:hAnsi="Arial;sans-serif"/>
          <w:b w:val="false"/>
          <w:color w:val="000000"/>
          <w:sz w:val="16"/>
        </w:rPr>
        <w:t>waive</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Financing</w:t>
      </w:r>
      <w:r>
        <w:rPr>
          <w:color w:val="000000"/>
        </w:rPr>
        <w:t xml:space="preserve"> </w:t>
      </w:r>
      <w:r>
        <w:rPr>
          <w:rFonts w:ascii="Arial;sans-serif" w:hAnsi="Arial;sans-serif"/>
          <w:b w:val="false"/>
          <w:color w:val="000000"/>
          <w:sz w:val="16"/>
        </w:rPr>
        <w:t>Condition in</w:t>
      </w:r>
      <w:r>
        <w:rPr>
          <w:color w:val="000000"/>
        </w:rPr>
        <w:t xml:space="preserve"> </w:t>
      </w:r>
      <w:r>
        <w:rPr>
          <w:rFonts w:ascii="Arial;sans-serif" w:hAnsi="Arial;sans-serif"/>
          <w:b w:val="false"/>
          <w:color w:val="000000"/>
          <w:sz w:val="16"/>
        </w:rPr>
        <w:t>its</w:t>
      </w:r>
      <w:r>
        <w:rPr>
          <w:color w:val="000000"/>
        </w:rPr>
        <w:t xml:space="preserve"> </w:t>
      </w:r>
      <w:r>
        <w:rPr>
          <w:rFonts w:ascii="Arial;sans-serif" w:hAnsi="Arial;sans-serif"/>
          <w:b w:val="false"/>
          <w:color w:val="000000"/>
          <w:sz w:val="16"/>
        </w:rPr>
        <w:t>sole</w:t>
      </w:r>
      <w:r>
        <w:rPr>
          <w:color w:val="000000"/>
        </w:rPr>
        <w:t xml:space="preserve"> </w:t>
      </w:r>
      <w:r>
        <w:rPr>
          <w:rFonts w:ascii="Arial;sans-serif" w:hAnsi="Arial;sans-serif"/>
          <w:b w:val="false"/>
          <w:color w:val="000000"/>
          <w:sz w:val="16"/>
        </w:rPr>
        <w:t>discretion.</w:t>
      </w:r>
    </w:p>
    <w:p>
      <w:pPr>
        <w:pStyle w:val="TextBody"/>
        <w:bidi w:val="0"/>
        <w:spacing w:lineRule="auto" w:line="302" w:before="148" w:after="283"/>
        <w:jc w:val="left"/>
        <w:rPr/>
      </w:pP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related</w:t>
      </w:r>
      <w:r>
        <w:rPr>
          <w:color w:val="000000"/>
        </w:rPr>
        <w:t xml:space="preserve"> </w:t>
      </w:r>
      <w:r>
        <w:rPr>
          <w:rFonts w:ascii="Arial;sans-serif" w:hAnsi="Arial;sans-serif"/>
          <w:b w:val="false"/>
          <w:color w:val="000000"/>
          <w:sz w:val="16"/>
        </w:rPr>
        <w:t>guarantees</w:t>
      </w:r>
      <w:r>
        <w:rPr>
          <w:color w:val="000000"/>
        </w:rPr>
        <w:t xml:space="preserve"> </w:t>
      </w:r>
      <w:r>
        <w:rPr>
          <w:rFonts w:ascii="Arial;sans-serif" w:hAnsi="Arial;sans-serif"/>
          <w:b w:val="false"/>
          <w:color w:val="000000"/>
          <w:sz w:val="16"/>
        </w:rPr>
        <w:t>are</w:t>
      </w:r>
      <w:r>
        <w:rPr>
          <w:color w:val="000000"/>
        </w:rPr>
        <w:t xml:space="preserve"> </w:t>
      </w:r>
      <w:r>
        <w:rPr>
          <w:rFonts w:ascii="Arial;sans-serif" w:hAnsi="Arial;sans-serif"/>
          <w:b w:val="false"/>
          <w:color w:val="000000"/>
          <w:sz w:val="16"/>
        </w:rPr>
        <w:t>being</w:t>
      </w:r>
      <w:r>
        <w:rPr>
          <w:color w:val="000000"/>
        </w:rPr>
        <w:t xml:space="preserve"> </w:t>
      </w:r>
      <w:r>
        <w:rPr>
          <w:rFonts w:ascii="Arial;sans-serif" w:hAnsi="Arial;sans-serif"/>
          <w:b w:val="false"/>
          <w:color w:val="000000"/>
          <w:sz w:val="16"/>
        </w:rPr>
        <w:t>offered</w:t>
      </w:r>
      <w:r>
        <w:rPr>
          <w:color w:val="000000"/>
        </w:rPr>
        <w:t xml:space="preserve"> </w:t>
      </w:r>
      <w:r>
        <w:rPr>
          <w:rFonts w:ascii="Arial;sans-serif" w:hAnsi="Arial;sans-serif"/>
          <w:b w:val="false"/>
          <w:color w:val="000000"/>
          <w:sz w:val="16"/>
        </w:rPr>
        <w:t>only</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qualified</w:t>
      </w:r>
      <w:r>
        <w:rPr>
          <w:color w:val="000000"/>
        </w:rPr>
        <w:t xml:space="preserve"> </w:t>
      </w:r>
      <w:r>
        <w:rPr>
          <w:rFonts w:ascii="Arial;sans-serif" w:hAnsi="Arial;sans-serif"/>
          <w:b w:val="false"/>
          <w:color w:val="000000"/>
          <w:sz w:val="16"/>
        </w:rPr>
        <w:t>institutional</w:t>
      </w:r>
      <w:r>
        <w:rPr>
          <w:color w:val="000000"/>
        </w:rPr>
        <w:t xml:space="preserve"> </w:t>
      </w:r>
      <w:r>
        <w:rPr>
          <w:rFonts w:ascii="Arial;sans-serif" w:hAnsi="Arial;sans-serif"/>
          <w:b w:val="false"/>
          <w:color w:val="000000"/>
          <w:sz w:val="16"/>
        </w:rPr>
        <w:t>buyers</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reliance</w:t>
      </w:r>
      <w:r>
        <w:rPr>
          <w:color w:val="000000"/>
        </w:rPr>
        <w:t xml:space="preserve"> </w:t>
      </w:r>
      <w:r>
        <w:rPr>
          <w:rFonts w:ascii="Arial;sans-serif" w:hAnsi="Arial;sans-serif"/>
          <w:b w:val="false"/>
          <w:color w:val="000000"/>
          <w:sz w:val="16"/>
        </w:rPr>
        <w:t>on</w:t>
      </w:r>
      <w:r>
        <w:rPr>
          <w:color w:val="000000"/>
        </w:rPr>
        <w:t xml:space="preserve"> </w:t>
      </w:r>
      <w:r>
        <w:rPr>
          <w:rFonts w:ascii="Arial;sans-serif" w:hAnsi="Arial;sans-serif"/>
          <w:b w:val="false"/>
          <w:color w:val="000000"/>
          <w:sz w:val="16"/>
        </w:rPr>
        <w:t>Rule</w:t>
      </w:r>
      <w:r>
        <w:rPr>
          <w:color w:val="000000"/>
        </w:rPr>
        <w:t xml:space="preserve"> </w:t>
      </w:r>
      <w:r>
        <w:rPr>
          <w:rFonts w:ascii="Arial;sans-serif" w:hAnsi="Arial;sans-serif"/>
          <w:b w:val="false"/>
          <w:color w:val="000000"/>
          <w:sz w:val="16"/>
        </w:rPr>
        <w:t>144A</w:t>
      </w:r>
      <w:r>
        <w:rPr>
          <w:color w:val="000000"/>
        </w:rPr>
        <w:t xml:space="preserve"> </w:t>
      </w:r>
      <w:r>
        <w:rPr>
          <w:rFonts w:ascii="Arial;sans-serif" w:hAnsi="Arial;sans-serif"/>
          <w:b w:val="false"/>
          <w:color w:val="000000"/>
          <w:sz w:val="16"/>
        </w:rPr>
        <w:t>under</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Securities</w:t>
      </w:r>
      <w:r>
        <w:rPr>
          <w:color w:val="000000"/>
        </w:rPr>
        <w:t xml:space="preserve"> </w:t>
      </w:r>
      <w:r>
        <w:rPr>
          <w:rFonts w:ascii="Arial;sans-serif" w:hAnsi="Arial;sans-serif"/>
          <w:b w:val="false"/>
          <w:color w:val="000000"/>
          <w:sz w:val="16"/>
        </w:rPr>
        <w:t>Act</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1933, as amended</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Securities</w:t>
      </w:r>
      <w:r>
        <w:rPr>
          <w:color w:val="000000"/>
        </w:rPr>
        <w:t xml:space="preserve"> </w:t>
      </w:r>
      <w:r>
        <w:rPr>
          <w:rFonts w:ascii="Arial;sans-serif" w:hAnsi="Arial;sans-serif"/>
          <w:b w:val="false"/>
          <w:color w:val="000000"/>
          <w:sz w:val="16"/>
        </w:rPr>
        <w:t>Act”)</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outside</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United</w:t>
      </w:r>
      <w:r>
        <w:rPr>
          <w:color w:val="000000"/>
        </w:rPr>
        <w:t xml:space="preserve"> </w:t>
      </w:r>
      <w:r>
        <w:rPr>
          <w:rFonts w:ascii="Arial;sans-serif" w:hAnsi="Arial;sans-serif"/>
          <w:b w:val="false"/>
          <w:color w:val="000000"/>
          <w:sz w:val="16"/>
        </w:rPr>
        <w:t>States,</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persons</w:t>
      </w:r>
      <w:r>
        <w:rPr>
          <w:color w:val="000000"/>
        </w:rPr>
        <w:t xml:space="preserve"> </w:t>
      </w:r>
      <w:r>
        <w:rPr>
          <w:rFonts w:ascii="Arial;sans-serif" w:hAnsi="Arial;sans-serif"/>
          <w:b w:val="false"/>
          <w:color w:val="000000"/>
          <w:sz w:val="16"/>
        </w:rPr>
        <w:t>other</w:t>
      </w:r>
      <w:r>
        <w:rPr>
          <w:color w:val="000000"/>
        </w:rPr>
        <w:t xml:space="preserve"> </w:t>
      </w:r>
      <w:r>
        <w:rPr>
          <w:rFonts w:ascii="Arial;sans-serif" w:hAnsi="Arial;sans-serif"/>
          <w:b w:val="false"/>
          <w:color w:val="000000"/>
          <w:sz w:val="16"/>
        </w:rPr>
        <w:t>than</w:t>
      </w:r>
      <w:r>
        <w:rPr>
          <w:color w:val="000000"/>
        </w:rPr>
        <w:t xml:space="preserve"> “</w:t>
      </w:r>
      <w:r>
        <w:rPr>
          <w:rFonts w:ascii="Arial;sans-serif" w:hAnsi="Arial;sans-serif"/>
          <w:b w:val="false"/>
          <w:color w:val="000000"/>
          <w:sz w:val="16"/>
        </w:rPr>
        <w:t>U.S.</w:t>
      </w:r>
      <w:r>
        <w:rPr>
          <w:color w:val="000000"/>
        </w:rPr>
        <w:t xml:space="preserve"> </w:t>
      </w:r>
      <w:r>
        <w:rPr>
          <w:rFonts w:ascii="Arial;sans-serif" w:hAnsi="Arial;sans-serif"/>
          <w:b w:val="false"/>
          <w:color w:val="000000"/>
          <w:sz w:val="16"/>
        </w:rPr>
        <w:t>persons” in</w:t>
      </w:r>
      <w:r>
        <w:rPr>
          <w:color w:val="000000"/>
        </w:rPr>
        <w:t xml:space="preserve"> </w:t>
      </w:r>
      <w:r>
        <w:rPr>
          <w:rFonts w:ascii="Arial;sans-serif" w:hAnsi="Arial;sans-serif"/>
          <w:b w:val="false"/>
          <w:color w:val="000000"/>
          <w:sz w:val="16"/>
        </w:rPr>
        <w:t>compliance</w:t>
      </w:r>
      <w:r>
        <w:rPr>
          <w:color w:val="000000"/>
        </w:rPr>
        <w:t xml:space="preserve"> </w:t>
      </w:r>
      <w:r>
        <w:rPr>
          <w:rFonts w:ascii="Arial;sans-serif" w:hAnsi="Arial;sans-serif"/>
          <w:b w:val="false"/>
          <w:color w:val="000000"/>
          <w:sz w:val="16"/>
        </w:rPr>
        <w:t>with</w:t>
      </w:r>
      <w:r>
        <w:rPr>
          <w:color w:val="000000"/>
        </w:rPr>
        <w:t xml:space="preserve"> </w:t>
      </w:r>
      <w:r>
        <w:rPr>
          <w:rFonts w:ascii="Arial;sans-serif" w:hAnsi="Arial;sans-serif"/>
          <w:b w:val="false"/>
          <w:color w:val="000000"/>
          <w:sz w:val="16"/>
        </w:rPr>
        <w:t>Regulation</w:t>
      </w:r>
      <w:r>
        <w:rPr>
          <w:color w:val="000000"/>
        </w:rPr>
        <w:t xml:space="preserve"> </w:t>
      </w:r>
      <w:r>
        <w:rPr>
          <w:rFonts w:ascii="Arial;sans-serif" w:hAnsi="Arial;sans-serif"/>
          <w:b w:val="false"/>
          <w:color w:val="000000"/>
          <w:sz w:val="16"/>
        </w:rPr>
        <w:t>S</w:t>
      </w:r>
      <w:r>
        <w:rPr>
          <w:color w:val="000000"/>
        </w:rPr>
        <w:t xml:space="preserve"> </w:t>
      </w:r>
      <w:r>
        <w:rPr>
          <w:rFonts w:ascii="Arial;sans-serif" w:hAnsi="Arial;sans-serif"/>
          <w:b w:val="false"/>
          <w:color w:val="000000"/>
          <w:sz w:val="16"/>
        </w:rPr>
        <w:t>under</w:t>
      </w:r>
      <w:r>
        <w:rPr>
          <w:color w:val="000000"/>
        </w:rPr>
        <w:t xml:space="preserve"> </w:t>
      </w:r>
      <w:r>
        <w:rPr>
          <w:rFonts w:ascii="Arial;sans-serif" w:hAnsi="Arial;sans-serif"/>
          <w:b w:val="false"/>
          <w:color w:val="000000"/>
          <w:sz w:val="16"/>
        </w:rPr>
        <w:t>the Securities</w:t>
      </w:r>
      <w:r>
        <w:rPr>
          <w:color w:val="000000"/>
        </w:rPr>
        <w:t xml:space="preserve"> </w:t>
      </w:r>
      <w:r>
        <w:rPr>
          <w:rFonts w:ascii="Arial;sans-serif" w:hAnsi="Arial;sans-serif"/>
          <w:b w:val="false"/>
          <w:color w:val="000000"/>
          <w:sz w:val="16"/>
        </w:rPr>
        <w:t>Act.</w:t>
      </w:r>
      <w:r>
        <w:rPr>
          <w:color w:val="000000"/>
        </w:rPr>
        <w:t xml:space="preserve"> </w:t>
      </w:r>
      <w:r>
        <w:rPr>
          <w:rFonts w:ascii="Arial;sans-serif" w:hAnsi="Arial;sans-serif"/>
          <w:b w:val="false"/>
          <w:color w:val="000000"/>
          <w:sz w:val="16"/>
        </w:rPr>
        <w:t>This</w:t>
      </w:r>
      <w:r>
        <w:rPr>
          <w:color w:val="000000"/>
        </w:rPr>
        <w:t xml:space="preserve"> </w:t>
      </w:r>
      <w:r>
        <w:rPr>
          <w:rFonts w:ascii="Arial;sans-serif" w:hAnsi="Arial;sans-serif"/>
          <w:b w:val="false"/>
          <w:color w:val="000000"/>
          <w:sz w:val="16"/>
        </w:rPr>
        <w:t>press</w:t>
      </w:r>
      <w:r>
        <w:rPr>
          <w:color w:val="000000"/>
        </w:rPr>
        <w:t xml:space="preserve"> </w:t>
      </w:r>
      <w:r>
        <w:rPr>
          <w:rFonts w:ascii="Arial;sans-serif" w:hAnsi="Arial;sans-serif"/>
          <w:b w:val="false"/>
          <w:color w:val="000000"/>
          <w:sz w:val="16"/>
        </w:rPr>
        <w:t>release</w:t>
      </w:r>
      <w:r>
        <w:rPr>
          <w:color w:val="000000"/>
        </w:rPr>
        <w:t xml:space="preserve"> </w:t>
      </w:r>
      <w:r>
        <w:rPr>
          <w:rFonts w:ascii="Arial;sans-serif" w:hAnsi="Arial;sans-serif"/>
          <w:b w:val="false"/>
          <w:color w:val="000000"/>
          <w:sz w:val="16"/>
        </w:rPr>
        <w:t>does</w:t>
      </w:r>
      <w:r>
        <w:rPr>
          <w:color w:val="000000"/>
        </w:rPr>
        <w:t xml:space="preserve"> </w:t>
      </w:r>
      <w:r>
        <w:rPr>
          <w:rFonts w:ascii="Arial;sans-serif" w:hAnsi="Arial;sans-serif"/>
          <w:b w:val="false"/>
          <w:color w:val="000000"/>
          <w:sz w:val="16"/>
        </w:rPr>
        <w:t>not</w:t>
      </w:r>
      <w:r>
        <w:rPr>
          <w:color w:val="000000"/>
        </w:rPr>
        <w:t xml:space="preserve"> </w:t>
      </w:r>
      <w:r>
        <w:rPr>
          <w:rFonts w:ascii="Arial;sans-serif" w:hAnsi="Arial;sans-serif"/>
          <w:b w:val="false"/>
          <w:color w:val="000000"/>
          <w:sz w:val="16"/>
        </w:rPr>
        <w:t>constitute</w:t>
      </w:r>
      <w:r>
        <w:rPr>
          <w:color w:val="000000"/>
        </w:rPr>
        <w:t xml:space="preserve"> </w:t>
      </w:r>
      <w:r>
        <w:rPr>
          <w:rFonts w:ascii="Arial;sans-serif" w:hAnsi="Arial;sans-serif"/>
          <w:b w:val="false"/>
          <w:color w:val="000000"/>
          <w:sz w:val="16"/>
        </w:rPr>
        <w:t>an</w:t>
      </w:r>
      <w:r>
        <w:rPr>
          <w:color w:val="000000"/>
        </w:rPr>
        <w:t xml:space="preserve"> </w:t>
      </w:r>
      <w:r>
        <w:rPr>
          <w:rFonts w:ascii="Arial;sans-serif" w:hAnsi="Arial;sans-serif"/>
          <w:b w:val="false"/>
          <w:color w:val="000000"/>
          <w:sz w:val="16"/>
        </w:rPr>
        <w:t>offer</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sell</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solicitation</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an</w:t>
      </w:r>
      <w:r>
        <w:rPr>
          <w:color w:val="000000"/>
        </w:rPr>
        <w:t xml:space="preserve"> </w:t>
      </w:r>
      <w:r>
        <w:rPr>
          <w:rFonts w:ascii="Arial;sans-serif" w:hAnsi="Arial;sans-serif"/>
          <w:b w:val="false"/>
          <w:color w:val="000000"/>
          <w:sz w:val="16"/>
        </w:rPr>
        <w:t>offer</w:t>
      </w:r>
      <w:r>
        <w:rPr>
          <w:color w:val="000000"/>
        </w:rPr>
        <w:t xml:space="preserve"> </w:t>
      </w:r>
      <w:r>
        <w:rPr>
          <w:rFonts w:ascii="Arial;sans-serif" w:hAnsi="Arial;sans-serif"/>
          <w:b w:val="false"/>
          <w:color w:val="000000"/>
          <w:sz w:val="16"/>
        </w:rPr>
        <w:t>to</w:t>
      </w:r>
      <w:r>
        <w:rPr>
          <w:color w:val="000000"/>
        </w:rPr>
        <w:t xml:space="preserve"> </w:t>
      </w:r>
      <w:r>
        <w:rPr>
          <w:rFonts w:ascii="Arial;sans-serif" w:hAnsi="Arial;sans-serif"/>
          <w:b w:val="false"/>
          <w:color w:val="000000"/>
          <w:sz w:val="16"/>
        </w:rPr>
        <w:t>buy</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notes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related</w:t>
      </w:r>
      <w:r>
        <w:rPr>
          <w:color w:val="000000"/>
        </w:rPr>
        <w:t xml:space="preserve"> </w:t>
      </w:r>
      <w:r>
        <w:rPr>
          <w:rFonts w:ascii="Arial;sans-serif" w:hAnsi="Arial;sans-serif"/>
          <w:b w:val="false"/>
          <w:color w:val="000000"/>
          <w:sz w:val="16"/>
        </w:rPr>
        <w:t>guarantees.</w:t>
      </w:r>
      <w:r>
        <w:rPr>
          <w:color w:val="000000"/>
        </w:rPr>
        <w:t xml:space="preserve"> </w:t>
      </w:r>
      <w:r>
        <w:rPr>
          <w:rFonts w:ascii="Arial;sans-serif" w:hAnsi="Arial;sans-serif"/>
          <w:b w:val="false"/>
          <w:color w:val="000000"/>
          <w:sz w:val="16"/>
        </w:rPr>
        <w:t>Any</w:t>
      </w:r>
      <w:r>
        <w:rPr>
          <w:color w:val="000000"/>
        </w:rPr>
        <w:t xml:space="preserve"> </w:t>
      </w:r>
      <w:r>
        <w:rPr>
          <w:rFonts w:ascii="Arial;sans-serif" w:hAnsi="Arial;sans-serif"/>
          <w:b w:val="false"/>
          <w:color w:val="000000"/>
          <w:sz w:val="16"/>
        </w:rPr>
        <w:t>offers</w:t>
      </w:r>
      <w:r>
        <w:rPr>
          <w:color w:val="000000"/>
        </w:rPr>
        <w:t xml:space="preserve"> </w:t>
      </w:r>
      <w:r>
        <w:rPr>
          <w:rFonts w:ascii="Arial;sans-serif" w:hAnsi="Arial;sans-serif"/>
          <w:b w:val="false"/>
          <w:color w:val="000000"/>
          <w:sz w:val="16"/>
        </w:rPr>
        <w:t>of the notes and related guarantees will be made only by means of a private offering memorandum. The notes and related guarantees have not been registered</w:t>
      </w:r>
      <w:r>
        <w:rPr>
          <w:color w:val="000000"/>
        </w:rPr>
        <w:t xml:space="preserve"> </w:t>
      </w:r>
      <w:r>
        <w:rPr>
          <w:rFonts w:ascii="Arial;sans-serif" w:hAnsi="Arial;sans-serif"/>
          <w:b w:val="false"/>
          <w:color w:val="000000"/>
          <w:sz w:val="16"/>
        </w:rPr>
        <w:t>under</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Securities</w:t>
      </w:r>
      <w:r>
        <w:rPr>
          <w:color w:val="000000"/>
        </w:rPr>
        <w:t xml:space="preserve"> </w:t>
      </w:r>
      <w:r>
        <w:rPr>
          <w:rFonts w:ascii="Arial;sans-serif" w:hAnsi="Arial;sans-serif"/>
          <w:b w:val="false"/>
          <w:color w:val="000000"/>
          <w:sz w:val="16"/>
        </w:rPr>
        <w:t>Act,</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securities</w:t>
      </w:r>
      <w:r>
        <w:rPr>
          <w:color w:val="000000"/>
        </w:rPr>
        <w:t xml:space="preserve"> </w:t>
      </w:r>
      <w:r>
        <w:rPr>
          <w:rFonts w:ascii="Arial;sans-serif" w:hAnsi="Arial;sans-serif"/>
          <w:b w:val="false"/>
          <w:color w:val="000000"/>
          <w:sz w:val="16"/>
        </w:rPr>
        <w:t>laws</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any</w:t>
      </w:r>
      <w:r>
        <w:rPr>
          <w:color w:val="000000"/>
        </w:rPr>
        <w:t xml:space="preserve"> </w:t>
      </w:r>
      <w:r>
        <w:rPr>
          <w:rFonts w:ascii="Arial;sans-serif" w:hAnsi="Arial;sans-serif"/>
          <w:b w:val="false"/>
          <w:color w:val="000000"/>
          <w:sz w:val="16"/>
        </w:rPr>
        <w:t>other</w:t>
      </w:r>
      <w:r>
        <w:rPr>
          <w:color w:val="000000"/>
        </w:rPr>
        <w:t xml:space="preserve"> </w:t>
      </w:r>
      <w:r>
        <w:rPr>
          <w:rFonts w:ascii="Arial;sans-serif" w:hAnsi="Arial;sans-serif"/>
          <w:b w:val="false"/>
          <w:color w:val="000000"/>
          <w:sz w:val="16"/>
        </w:rPr>
        <w:t>jurisdiction,</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may</w:t>
      </w:r>
      <w:r>
        <w:rPr>
          <w:color w:val="000000"/>
        </w:rPr>
        <w:t xml:space="preserve"> </w:t>
      </w:r>
      <w:r>
        <w:rPr>
          <w:rFonts w:ascii="Arial;sans-serif" w:hAnsi="Arial;sans-serif"/>
          <w:b w:val="false"/>
          <w:color w:val="000000"/>
          <w:sz w:val="16"/>
        </w:rPr>
        <w:t>not</w:t>
      </w:r>
      <w:r>
        <w:rPr>
          <w:color w:val="000000"/>
        </w:rPr>
        <w:t xml:space="preserve"> </w:t>
      </w:r>
      <w:r>
        <w:rPr>
          <w:rFonts w:ascii="Arial;sans-serif" w:hAnsi="Arial;sans-serif"/>
          <w:b w:val="false"/>
          <w:color w:val="000000"/>
          <w:sz w:val="16"/>
        </w:rPr>
        <w:t>be</w:t>
      </w:r>
      <w:r>
        <w:rPr>
          <w:color w:val="000000"/>
        </w:rPr>
        <w:t xml:space="preserve"> </w:t>
      </w:r>
      <w:r>
        <w:rPr>
          <w:rFonts w:ascii="Arial;sans-serif" w:hAnsi="Arial;sans-serif"/>
          <w:b w:val="false"/>
          <w:color w:val="000000"/>
          <w:sz w:val="16"/>
        </w:rPr>
        <w:t>offered</w:t>
      </w:r>
      <w:r>
        <w:rPr>
          <w:color w:val="000000"/>
        </w:rPr>
        <w:t xml:space="preserve"> </w:t>
      </w:r>
      <w:r>
        <w:rPr>
          <w:rFonts w:ascii="Arial;sans-serif" w:hAnsi="Arial;sans-serif"/>
          <w:b w:val="false"/>
          <w:color w:val="000000"/>
          <w:sz w:val="16"/>
        </w:rPr>
        <w:t>or</w:t>
      </w:r>
      <w:r>
        <w:rPr>
          <w:color w:val="000000"/>
        </w:rPr>
        <w:t xml:space="preserve"> </w:t>
      </w:r>
      <w:r>
        <w:rPr>
          <w:rFonts w:ascii="Arial;sans-serif" w:hAnsi="Arial;sans-serif"/>
          <w:b w:val="false"/>
          <w:color w:val="000000"/>
          <w:sz w:val="16"/>
        </w:rPr>
        <w:t>sold</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United</w:t>
      </w:r>
      <w:r>
        <w:rPr>
          <w:color w:val="000000"/>
        </w:rPr>
        <w:t xml:space="preserve"> </w:t>
      </w:r>
      <w:r>
        <w:rPr>
          <w:rFonts w:ascii="Arial;sans-serif" w:hAnsi="Arial;sans-serif"/>
          <w:b w:val="false"/>
          <w:color w:val="000000"/>
          <w:sz w:val="16"/>
        </w:rPr>
        <w:t>States</w:t>
      </w:r>
      <w:r>
        <w:rPr>
          <w:color w:val="000000"/>
        </w:rPr>
        <w:t xml:space="preserve"> </w:t>
      </w:r>
      <w:r>
        <w:rPr>
          <w:rFonts w:ascii="Arial;sans-serif" w:hAnsi="Arial;sans-serif"/>
          <w:b w:val="false"/>
          <w:color w:val="000000"/>
          <w:sz w:val="16"/>
        </w:rPr>
        <w:t>without registration or an applicable exemption from registration requirements.</w:t>
      </w:r>
    </w:p>
    <w:p>
      <w:pPr>
        <w:pStyle w:val="TextBody"/>
        <w:bidi w:val="0"/>
        <w:spacing w:lineRule="auto" w:line="288" w:before="148" w:after="283"/>
        <w:jc w:val="left"/>
        <w:rPr/>
      </w:pPr>
      <w:r>
        <w:rPr>
          <w:rFonts w:ascii="Arial;sans-serif" w:hAnsi="Arial;sans-serif"/>
          <w:b/>
          <w:color w:val="000000"/>
          <w:sz w:val="16"/>
        </w:rPr>
        <w:t>About</w:t>
      </w:r>
      <w:r>
        <w:rPr>
          <w:color w:val="000000"/>
        </w:rPr>
        <w:t xml:space="preserve"> </w:t>
      </w:r>
      <w:r>
        <w:rPr>
          <w:rFonts w:ascii="Arial;sans-serif" w:hAnsi="Arial;sans-serif"/>
          <w:b/>
          <w:color w:val="000000"/>
          <w:sz w:val="16"/>
        </w:rPr>
        <w:t>Prestige</w:t>
      </w:r>
      <w:r>
        <w:rPr>
          <w:color w:val="000000"/>
        </w:rPr>
        <w:t xml:space="preserve"> </w:t>
      </w:r>
      <w:r>
        <w:rPr>
          <w:rFonts w:ascii="Arial;sans-serif" w:hAnsi="Arial;sans-serif"/>
          <w:b/>
          <w:color w:val="000000"/>
          <w:sz w:val="16"/>
        </w:rPr>
        <w:t>Consumer</w:t>
      </w:r>
      <w:r>
        <w:rPr>
          <w:color w:val="000000"/>
        </w:rPr>
        <w:t xml:space="preserve"> </w:t>
      </w:r>
      <w:r>
        <w:rPr>
          <w:rFonts w:ascii="Arial;sans-serif" w:hAnsi="Arial;sans-serif"/>
          <w:b/>
          <w:color w:val="000000"/>
          <w:sz w:val="16"/>
        </w:rPr>
        <w:t>Healthcare</w:t>
      </w:r>
      <w:r>
        <w:rPr>
          <w:color w:val="000000"/>
        </w:rPr>
        <w:t xml:space="preserve"> </w:t>
      </w:r>
      <w:r>
        <w:rPr>
          <w:rFonts w:ascii="Arial;sans-serif" w:hAnsi="Arial;sans-serif"/>
          <w:b/>
          <w:color w:val="000000"/>
          <w:sz w:val="16"/>
        </w:rPr>
        <w:t>Inc.</w:t>
      </w:r>
    </w:p>
    <w:p>
      <w:pPr>
        <w:pStyle w:val="TextBody"/>
        <w:bidi w:val="0"/>
        <w:spacing w:lineRule="auto" w:line="300" w:before="167" w:after="283"/>
        <w:jc w:val="both"/>
        <w:rPr/>
      </w:pPr>
      <w:r>
        <w:rPr>
          <w:rFonts w:ascii="Arial;sans-serif" w:hAnsi="Arial;sans-serif"/>
          <w:b w:val="false"/>
          <w:color w:val="000000"/>
          <w:sz w:val="16"/>
        </w:rPr>
        <w:t>Prestige Consumer Healthcare markets, sells, manufactures and distributes consumer healthcare products to retail outlets throughout the U.S. and Canada, Australia, and in certain other international markets. The Company’s diverse portfolio of brands include Breathe Right® nasal strips, Monistat</w:t>
      </w:r>
      <w:r>
        <w:rPr>
          <w:rFonts w:ascii="Arial;sans-serif" w:hAnsi="Arial;sans-serif"/>
          <w:b w:val="false"/>
          <w:color w:val="000000"/>
          <w:sz w:val="14"/>
        </w:rPr>
        <w:t xml:space="preserve">® </w:t>
      </w:r>
      <w:r>
        <w:rPr>
          <w:rFonts w:ascii="Arial;sans-serif" w:hAnsi="Arial;sans-serif"/>
          <w:b w:val="false"/>
          <w:color w:val="000000"/>
          <w:sz w:val="16"/>
        </w:rPr>
        <w:t xml:space="preserve">and Summer’s Eve </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women’s health products, BC</w:t>
      </w:r>
      <w:r>
        <w:rPr>
          <w:color w:val="000000"/>
        </w:rPr>
        <w:t xml:space="preserve"> </w:t>
      </w:r>
      <w:r>
        <w:rPr>
          <w:rFonts w:ascii="Arial;sans-serif" w:hAnsi="Arial;sans-serif"/>
          <w:b w:val="false"/>
          <w:color w:val="000000"/>
          <w:sz w:val="14"/>
        </w:rPr>
        <w:t xml:space="preserve">® </w:t>
      </w:r>
      <w:r>
        <w:rPr>
          <w:rFonts w:ascii="Arial;sans-serif" w:hAnsi="Arial;sans-serif"/>
          <w:b w:val="false"/>
          <w:color w:val="000000"/>
          <w:sz w:val="16"/>
        </w:rPr>
        <w:t>and Goody’s</w:t>
      </w:r>
      <w:r>
        <w:rPr>
          <w:color w:val="000000"/>
        </w:rPr>
        <w:t xml:space="preserve"> </w:t>
      </w:r>
      <w:r>
        <w:rPr>
          <w:rFonts w:ascii="Arial;sans-serif" w:hAnsi="Arial;sans-serif"/>
          <w:b w:val="false"/>
          <w:color w:val="000000"/>
          <w:sz w:val="14"/>
        </w:rPr>
        <w:t xml:space="preserve">® </w:t>
      </w:r>
      <w:r>
        <w:rPr>
          <w:rFonts w:ascii="Arial;sans-serif" w:hAnsi="Arial;sans-serif"/>
          <w:b w:val="false"/>
          <w:color w:val="000000"/>
          <w:sz w:val="16"/>
        </w:rPr>
        <w:t>pain relievers, Clear Eyes</w:t>
      </w:r>
      <w:r>
        <w:rPr>
          <w:rFonts w:ascii="Arial;sans-serif" w:hAnsi="Arial;sans-serif"/>
          <w:b w:val="false"/>
          <w:color w:val="000000"/>
          <w:sz w:val="14"/>
        </w:rPr>
        <w:t xml:space="preserve">® </w:t>
      </w:r>
      <w:r>
        <w:rPr>
          <w:rFonts w:ascii="Arial;sans-serif" w:hAnsi="Arial;sans-serif"/>
          <w:b w:val="false"/>
          <w:color w:val="000000"/>
          <w:sz w:val="16"/>
        </w:rPr>
        <w:t>and TheraTears®  eye care products, DenTek</w:t>
      </w:r>
      <w:r>
        <w:rPr>
          <w:rFonts w:ascii="Arial;sans-serif" w:hAnsi="Arial;sans-serif"/>
          <w:b w:val="false"/>
          <w:color w:val="000000"/>
          <w:sz w:val="14"/>
        </w:rPr>
        <w:t xml:space="preserve">® </w:t>
      </w:r>
      <w:r>
        <w:rPr>
          <w:rFonts w:ascii="Arial;sans-serif" w:hAnsi="Arial;sans-serif"/>
          <w:b w:val="false"/>
          <w:color w:val="000000"/>
          <w:sz w:val="16"/>
        </w:rPr>
        <w:t>specialty oral care products, Dramamine</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motion</w:t>
      </w:r>
      <w:r>
        <w:rPr>
          <w:color w:val="000000"/>
        </w:rPr>
        <w:t xml:space="preserve"> </w:t>
      </w:r>
      <w:r>
        <w:rPr>
          <w:rFonts w:ascii="Arial;sans-serif" w:hAnsi="Arial;sans-serif"/>
          <w:b w:val="false"/>
          <w:color w:val="000000"/>
          <w:sz w:val="16"/>
        </w:rPr>
        <w:t>sickness</w:t>
      </w:r>
      <w:r>
        <w:rPr>
          <w:color w:val="000000"/>
        </w:rPr>
        <w:t xml:space="preserve"> </w:t>
      </w:r>
      <w:r>
        <w:rPr>
          <w:rFonts w:ascii="Arial;sans-serif" w:hAnsi="Arial;sans-serif"/>
          <w:b w:val="false"/>
          <w:color w:val="000000"/>
          <w:sz w:val="16"/>
        </w:rPr>
        <w:t>treatments,</w:t>
      </w:r>
      <w:r>
        <w:rPr>
          <w:color w:val="000000"/>
        </w:rPr>
        <w:t xml:space="preserve"> </w:t>
      </w:r>
      <w:r>
        <w:rPr>
          <w:rFonts w:ascii="Arial;sans-serif" w:hAnsi="Arial;sans-serif"/>
          <w:b w:val="false"/>
          <w:color w:val="000000"/>
          <w:sz w:val="16"/>
        </w:rPr>
        <w:t>Fleet</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enemas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glycerin</w:t>
      </w:r>
      <w:r>
        <w:rPr>
          <w:color w:val="000000"/>
        </w:rPr>
        <w:t xml:space="preserve"> </w:t>
      </w:r>
      <w:r>
        <w:rPr>
          <w:rFonts w:ascii="Arial;sans-serif" w:hAnsi="Arial;sans-serif"/>
          <w:b w:val="false"/>
          <w:color w:val="000000"/>
          <w:sz w:val="16"/>
        </w:rPr>
        <w:t>suppositories,</w:t>
      </w:r>
      <w:r>
        <w:rPr>
          <w:color w:val="000000"/>
        </w:rPr>
        <w:t xml:space="preserve"> </w:t>
      </w:r>
      <w:r>
        <w:rPr>
          <w:rFonts w:ascii="Arial;sans-serif" w:hAnsi="Arial;sans-serif"/>
          <w:b w:val="false"/>
          <w:color w:val="000000"/>
          <w:sz w:val="16"/>
        </w:rPr>
        <w:t>Chloraseptic</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Luden’s</w:t>
      </w:r>
      <w:r>
        <w:rPr>
          <w:color w:val="000000"/>
        </w:rPr>
        <w:t xml:space="preserve"> </w:t>
      </w:r>
      <w:r>
        <w:rPr>
          <w:rFonts w:ascii="Arial;sans-serif" w:hAnsi="Arial;sans-serif"/>
          <w:b w:val="false"/>
          <w:color w:val="000000"/>
          <w:sz w:val="14"/>
        </w:rPr>
        <w:t xml:space="preserve">® </w:t>
      </w:r>
      <w:r>
        <w:rPr>
          <w:rFonts w:ascii="Arial;sans-serif" w:hAnsi="Arial;sans-serif"/>
          <w:b w:val="false"/>
          <w:color w:val="000000"/>
          <w:sz w:val="16"/>
        </w:rPr>
        <w:t>sore</w:t>
      </w:r>
      <w:r>
        <w:rPr>
          <w:color w:val="000000"/>
        </w:rPr>
        <w:t xml:space="preserve"> </w:t>
      </w:r>
      <w:r>
        <w:rPr>
          <w:rFonts w:ascii="Arial;sans-serif" w:hAnsi="Arial;sans-serif"/>
          <w:b w:val="false"/>
          <w:color w:val="000000"/>
          <w:sz w:val="16"/>
        </w:rPr>
        <w:t>throat</w:t>
      </w:r>
      <w:r>
        <w:rPr>
          <w:color w:val="000000"/>
        </w:rPr>
        <w:t xml:space="preserve"> </w:t>
      </w:r>
      <w:r>
        <w:rPr>
          <w:rFonts w:ascii="Arial;sans-serif" w:hAnsi="Arial;sans-serif"/>
          <w:b w:val="false"/>
          <w:color w:val="000000"/>
          <w:sz w:val="16"/>
        </w:rPr>
        <w:t>treatments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drops,</w:t>
      </w:r>
      <w:r>
        <w:rPr>
          <w:color w:val="000000"/>
        </w:rPr>
        <w:t xml:space="preserve"> </w:t>
      </w:r>
      <w:r>
        <w:rPr>
          <w:rFonts w:ascii="Arial;sans-serif" w:hAnsi="Arial;sans-serif"/>
          <w:b w:val="false"/>
          <w:color w:val="000000"/>
          <w:sz w:val="16"/>
        </w:rPr>
        <w:t>Compound</w:t>
      </w:r>
      <w:r>
        <w:rPr>
          <w:color w:val="000000"/>
        </w:rPr>
        <w:t xml:space="preserve"> </w:t>
      </w:r>
      <w:r>
        <w:rPr>
          <w:rFonts w:ascii="Arial;sans-serif" w:hAnsi="Arial;sans-serif"/>
          <w:b w:val="false"/>
          <w:color w:val="000000"/>
          <w:sz w:val="16"/>
        </w:rPr>
        <w:t>W</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wart</w:t>
      </w:r>
      <w:r>
        <w:rPr>
          <w:color w:val="000000"/>
        </w:rPr>
        <w:t xml:space="preserve"> </w:t>
      </w:r>
      <w:r>
        <w:rPr>
          <w:rFonts w:ascii="Arial;sans-serif" w:hAnsi="Arial;sans-serif"/>
          <w:b w:val="false"/>
          <w:color w:val="000000"/>
          <w:sz w:val="16"/>
        </w:rPr>
        <w:t>treatments,</w:t>
      </w:r>
      <w:r>
        <w:rPr>
          <w:color w:val="000000"/>
        </w:rPr>
        <w:t xml:space="preserve"> </w:t>
      </w:r>
      <w:r>
        <w:rPr>
          <w:rFonts w:ascii="Arial;sans-serif" w:hAnsi="Arial;sans-serif"/>
          <w:b w:val="false"/>
          <w:color w:val="000000"/>
          <w:sz w:val="16"/>
        </w:rPr>
        <w:t>Little</w:t>
      </w:r>
      <w:r>
        <w:rPr>
          <w:color w:val="000000"/>
        </w:rPr>
        <w:t xml:space="preserve"> </w:t>
      </w:r>
      <w:r>
        <w:rPr>
          <w:rFonts w:ascii="Arial;sans-serif" w:hAnsi="Arial;sans-serif"/>
          <w:b w:val="false"/>
          <w:color w:val="000000"/>
          <w:sz w:val="16"/>
        </w:rPr>
        <w:t>Remedies</w:t>
      </w:r>
      <w:r>
        <w:rPr>
          <w:rFonts w:ascii="Arial;sans-serif" w:hAnsi="Arial;sans-serif"/>
          <w:b w:val="false"/>
          <w:color w:val="000000"/>
          <w:sz w:val="14"/>
        </w:rPr>
        <w:t xml:space="preserve">® </w:t>
      </w:r>
      <w:r>
        <w:rPr>
          <w:rFonts w:ascii="Arial;sans-serif" w:hAnsi="Arial;sans-serif"/>
          <w:b w:val="false"/>
          <w:color w:val="000000"/>
          <w:sz w:val="16"/>
        </w:rPr>
        <w:t>pediatric</w:t>
      </w:r>
      <w:r>
        <w:rPr>
          <w:color w:val="000000"/>
        </w:rPr>
        <w:t xml:space="preserve"> </w:t>
      </w:r>
      <w:r>
        <w:rPr>
          <w:rFonts w:ascii="Arial;sans-serif" w:hAnsi="Arial;sans-serif"/>
          <w:b w:val="false"/>
          <w:color w:val="000000"/>
          <w:sz w:val="16"/>
        </w:rPr>
        <w:t>over-the-counter</w:t>
      </w:r>
      <w:r>
        <w:rPr>
          <w:color w:val="000000"/>
        </w:rPr>
        <w:t xml:space="preserve"> </w:t>
      </w:r>
      <w:r>
        <w:rPr>
          <w:rFonts w:ascii="Arial;sans-serif" w:hAnsi="Arial;sans-serif"/>
          <w:b w:val="false"/>
          <w:color w:val="000000"/>
          <w:sz w:val="16"/>
        </w:rPr>
        <w:t>products,</w:t>
      </w:r>
      <w:r>
        <w:rPr>
          <w:color w:val="000000"/>
        </w:rPr>
        <w:t xml:space="preserve"> </w:t>
      </w:r>
      <w:r>
        <w:rPr>
          <w:rFonts w:ascii="Arial;sans-serif" w:hAnsi="Arial;sans-serif"/>
          <w:b w:val="false"/>
          <w:color w:val="000000"/>
          <w:sz w:val="16"/>
        </w:rPr>
        <w:t>Boudreaux’s</w:t>
      </w:r>
      <w:r>
        <w:rPr>
          <w:color w:val="000000"/>
        </w:rPr>
        <w:t xml:space="preserve"> </w:t>
      </w:r>
      <w:r>
        <w:rPr>
          <w:rFonts w:ascii="Arial;sans-serif" w:hAnsi="Arial;sans-serif"/>
          <w:b w:val="false"/>
          <w:color w:val="000000"/>
          <w:sz w:val="16"/>
        </w:rPr>
        <w:t>Butt</w:t>
      </w:r>
      <w:r>
        <w:rPr>
          <w:color w:val="000000"/>
        </w:rPr>
        <w:t xml:space="preserve"> </w:t>
      </w:r>
      <w:r>
        <w:rPr>
          <w:rFonts w:ascii="Arial;sans-serif" w:hAnsi="Arial;sans-serif"/>
          <w:b w:val="false"/>
          <w:color w:val="000000"/>
          <w:sz w:val="16"/>
        </w:rPr>
        <w:t>Paste</w:t>
      </w:r>
      <w:r>
        <w:rPr>
          <w:color w:val="000000"/>
        </w:rPr>
        <w:t xml:space="preserve"> </w:t>
      </w:r>
      <w:r>
        <w:rPr>
          <w:rFonts w:ascii="Arial;sans-serif" w:hAnsi="Arial;sans-serif"/>
          <w:b w:val="false"/>
          <w:color w:val="000000"/>
          <w:sz w:val="14"/>
        </w:rPr>
        <w:t xml:space="preserve">® </w:t>
      </w:r>
      <w:r>
        <w:rPr>
          <w:rFonts w:ascii="Arial;sans-serif" w:hAnsi="Arial;sans-serif"/>
          <w:b w:val="false"/>
          <w:color w:val="000000"/>
          <w:sz w:val="16"/>
        </w:rPr>
        <w:t>diaper</w:t>
      </w:r>
      <w:r>
        <w:rPr>
          <w:color w:val="000000"/>
        </w:rPr>
        <w:t xml:space="preserve"> </w:t>
      </w:r>
      <w:r>
        <w:rPr>
          <w:rFonts w:ascii="Arial;sans-serif" w:hAnsi="Arial;sans-serif"/>
          <w:b w:val="false"/>
          <w:color w:val="000000"/>
          <w:sz w:val="16"/>
        </w:rPr>
        <w:t>rash</w:t>
      </w:r>
      <w:r>
        <w:rPr>
          <w:color w:val="000000"/>
        </w:rPr>
        <w:t xml:space="preserve"> </w:t>
      </w:r>
      <w:r>
        <w:rPr>
          <w:rFonts w:ascii="Arial;sans-serif" w:hAnsi="Arial;sans-serif"/>
          <w:b w:val="false"/>
          <w:color w:val="000000"/>
          <w:sz w:val="16"/>
        </w:rPr>
        <w:t>ointments,</w:t>
      </w:r>
      <w:r>
        <w:rPr>
          <w:color w:val="000000"/>
        </w:rPr>
        <w:t xml:space="preserve"> </w:t>
      </w:r>
      <w:r>
        <w:rPr>
          <w:rFonts w:ascii="Arial;sans-serif" w:hAnsi="Arial;sans-serif"/>
          <w:b w:val="false"/>
          <w:color w:val="000000"/>
          <w:sz w:val="16"/>
        </w:rPr>
        <w:t>Nix</w:t>
      </w:r>
      <w:r>
        <w:rPr>
          <w:rFonts w:ascii="Arial;sans-serif" w:hAnsi="Arial;sans-serif"/>
          <w:b w:val="false"/>
          <w:color w:val="000000"/>
          <w:sz w:val="14"/>
        </w:rPr>
        <w:t xml:space="preserve">® </w:t>
      </w:r>
      <w:r>
        <w:rPr>
          <w:rFonts w:ascii="Arial;sans-serif" w:hAnsi="Arial;sans-serif"/>
          <w:b w:val="false"/>
          <w:color w:val="000000"/>
          <w:sz w:val="16"/>
        </w:rPr>
        <w:t>lice</w:t>
      </w:r>
      <w:r>
        <w:rPr>
          <w:color w:val="000000"/>
        </w:rPr>
        <w:t xml:space="preserve"> </w:t>
      </w:r>
      <w:r>
        <w:rPr>
          <w:rFonts w:ascii="Arial;sans-serif" w:hAnsi="Arial;sans-serif"/>
          <w:b w:val="false"/>
          <w:color w:val="000000"/>
          <w:sz w:val="16"/>
        </w:rPr>
        <w:t>treatment,</w:t>
      </w:r>
      <w:r>
        <w:rPr>
          <w:color w:val="000000"/>
        </w:rPr>
        <w:t xml:space="preserve"> </w:t>
      </w:r>
      <w:r>
        <w:rPr>
          <w:rFonts w:ascii="Arial;sans-serif" w:hAnsi="Arial;sans-serif"/>
          <w:b w:val="false"/>
          <w:color w:val="000000"/>
          <w:sz w:val="16"/>
        </w:rPr>
        <w:t>Debrox</w:t>
      </w:r>
      <w:r>
        <w:rPr>
          <w:rFonts w:ascii="Arial;sans-serif" w:hAnsi="Arial;sans-serif"/>
          <w:b w:val="false"/>
          <w:color w:val="000000"/>
          <w:sz w:val="14"/>
        </w:rPr>
        <w:t>®</w:t>
      </w:r>
      <w:r>
        <w:rPr>
          <w:color w:val="000000"/>
        </w:rPr>
        <w:t xml:space="preserve"> </w:t>
      </w:r>
      <w:r>
        <w:rPr>
          <w:rFonts w:ascii="Arial;sans-serif" w:hAnsi="Arial;sans-serif"/>
          <w:b w:val="false"/>
          <w:color w:val="000000"/>
          <w:sz w:val="16"/>
        </w:rPr>
        <w:t>earwax</w:t>
      </w:r>
      <w:r>
        <w:rPr>
          <w:color w:val="000000"/>
        </w:rPr>
        <w:t xml:space="preserve"> </w:t>
      </w:r>
      <w:r>
        <w:rPr>
          <w:rFonts w:ascii="Arial;sans-serif" w:hAnsi="Arial;sans-serif"/>
          <w:b w:val="false"/>
          <w:color w:val="000000"/>
          <w:sz w:val="16"/>
        </w:rPr>
        <w:t>remover,</w:t>
      </w:r>
      <w:r>
        <w:rPr>
          <w:color w:val="000000"/>
        </w:rPr>
        <w:t xml:space="preserve"> </w:t>
      </w:r>
      <w:r>
        <w:rPr>
          <w:rFonts w:ascii="Arial;sans-serif" w:hAnsi="Arial;sans-serif"/>
          <w:b w:val="false"/>
          <w:color w:val="000000"/>
          <w:sz w:val="16"/>
        </w:rPr>
        <w:t>Gaviscon</w:t>
      </w:r>
      <w:r>
        <w:rPr>
          <w:rFonts w:ascii="Arial;sans-serif" w:hAnsi="Arial;sans-serif"/>
          <w:b w:val="false"/>
          <w:color w:val="000000"/>
          <w:sz w:val="14"/>
        </w:rPr>
        <w:t xml:space="preserve">® </w:t>
      </w:r>
      <w:r>
        <w:rPr>
          <w:rFonts w:ascii="Arial;sans-serif" w:hAnsi="Arial;sans-serif"/>
          <w:b w:val="false"/>
          <w:color w:val="000000"/>
          <w:sz w:val="16"/>
        </w:rPr>
        <w:t>antacid</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Canada,</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Hydralyte</w:t>
      </w:r>
      <w:r>
        <w:rPr>
          <w:rFonts w:ascii="Arial;sans-serif" w:hAnsi="Arial;sans-serif"/>
          <w:b w:val="false"/>
          <w:color w:val="000000"/>
          <w:sz w:val="14"/>
        </w:rPr>
        <w:t xml:space="preserve">® </w:t>
      </w:r>
      <w:r>
        <w:rPr>
          <w:rFonts w:ascii="Arial;sans-serif" w:hAnsi="Arial;sans-serif"/>
          <w:b w:val="false"/>
          <w:color w:val="000000"/>
          <w:sz w:val="16"/>
        </w:rPr>
        <w:t>rehydration</w:t>
      </w:r>
      <w:r>
        <w:rPr>
          <w:color w:val="000000"/>
        </w:rPr>
        <w:t xml:space="preserve"> </w:t>
      </w:r>
      <w:r>
        <w:rPr>
          <w:rFonts w:ascii="Arial;sans-serif" w:hAnsi="Arial;sans-serif"/>
          <w:b w:val="false"/>
          <w:color w:val="000000"/>
          <w:sz w:val="16"/>
        </w:rPr>
        <w:t>products</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the</w:t>
      </w:r>
      <w:r>
        <w:rPr>
          <w:color w:val="000000"/>
        </w:rPr>
        <w:t xml:space="preserve"> </w:t>
      </w:r>
      <w:r>
        <w:rPr>
          <w:rFonts w:ascii="Arial;sans-serif" w:hAnsi="Arial;sans-serif"/>
          <w:b w:val="false"/>
          <w:color w:val="000000"/>
          <w:sz w:val="16"/>
        </w:rPr>
        <w:t>Fess</w:t>
      </w:r>
      <w:r>
        <w:rPr>
          <w:rFonts w:ascii="Arial;sans-serif" w:hAnsi="Arial;sans-serif"/>
          <w:b w:val="false"/>
          <w:color w:val="000000"/>
          <w:sz w:val="14"/>
        </w:rPr>
        <w:t xml:space="preserve">® </w:t>
      </w:r>
      <w:r>
        <w:rPr>
          <w:rFonts w:ascii="Arial;sans-serif" w:hAnsi="Arial;sans-serif"/>
          <w:b w:val="false"/>
          <w:color w:val="000000"/>
          <w:sz w:val="16"/>
        </w:rPr>
        <w:t>line</w:t>
      </w:r>
      <w:r>
        <w:rPr>
          <w:color w:val="000000"/>
        </w:rPr>
        <w:t xml:space="preserve"> </w:t>
      </w:r>
      <w:r>
        <w:rPr>
          <w:rFonts w:ascii="Arial;sans-serif" w:hAnsi="Arial;sans-serif"/>
          <w:b w:val="false"/>
          <w:color w:val="000000"/>
          <w:sz w:val="16"/>
        </w:rPr>
        <w:t>of</w:t>
      </w:r>
      <w:r>
        <w:rPr>
          <w:color w:val="000000"/>
        </w:rPr>
        <w:t xml:space="preserve"> </w:t>
      </w:r>
      <w:r>
        <w:rPr>
          <w:rFonts w:ascii="Arial;sans-serif" w:hAnsi="Arial;sans-serif"/>
          <w:b w:val="false"/>
          <w:color w:val="000000"/>
          <w:sz w:val="16"/>
        </w:rPr>
        <w:t>nasal</w:t>
      </w:r>
      <w:r>
        <w:rPr>
          <w:color w:val="000000"/>
        </w:rPr>
        <w:t xml:space="preserve"> </w:t>
      </w:r>
      <w:r>
        <w:rPr>
          <w:rFonts w:ascii="Arial;sans-serif" w:hAnsi="Arial;sans-serif"/>
          <w:b w:val="false"/>
          <w:color w:val="000000"/>
          <w:sz w:val="16"/>
        </w:rPr>
        <w:t>and</w:t>
      </w:r>
      <w:r>
        <w:rPr>
          <w:color w:val="000000"/>
        </w:rPr>
        <w:t xml:space="preserve"> </w:t>
      </w:r>
      <w:r>
        <w:rPr>
          <w:rFonts w:ascii="Arial;sans-serif" w:hAnsi="Arial;sans-serif"/>
          <w:b w:val="false"/>
          <w:color w:val="000000"/>
          <w:sz w:val="16"/>
        </w:rPr>
        <w:t>sinus</w:t>
      </w:r>
      <w:r>
        <w:rPr>
          <w:color w:val="000000"/>
        </w:rPr>
        <w:t xml:space="preserve"> </w:t>
      </w:r>
      <w:r>
        <w:rPr>
          <w:rFonts w:ascii="Arial;sans-serif" w:hAnsi="Arial;sans-serif"/>
          <w:b w:val="false"/>
          <w:color w:val="000000"/>
          <w:sz w:val="16"/>
        </w:rPr>
        <w:t>care</w:t>
      </w:r>
      <w:r>
        <w:rPr>
          <w:color w:val="000000"/>
        </w:rPr>
        <w:t xml:space="preserve"> </w:t>
      </w:r>
      <w:r>
        <w:rPr>
          <w:rFonts w:ascii="Arial;sans-serif" w:hAnsi="Arial;sans-serif"/>
          <w:b w:val="false"/>
          <w:color w:val="000000"/>
          <w:sz w:val="16"/>
        </w:rPr>
        <w:t>products</w:t>
      </w:r>
      <w:r>
        <w:rPr>
          <w:color w:val="000000"/>
        </w:rPr>
        <w:t xml:space="preserve"> </w:t>
      </w:r>
      <w:r>
        <w:rPr>
          <w:rFonts w:ascii="Arial;sans-serif" w:hAnsi="Arial;sans-serif"/>
          <w:b w:val="false"/>
          <w:color w:val="000000"/>
          <w:sz w:val="16"/>
        </w:rPr>
        <w:t>in</w:t>
      </w:r>
      <w:r>
        <w:rPr>
          <w:color w:val="000000"/>
        </w:rPr>
        <w:t xml:space="preserve"> </w:t>
      </w:r>
      <w:r>
        <w:rPr>
          <w:rFonts w:ascii="Arial;sans-serif" w:hAnsi="Arial;sans-serif"/>
          <w:b w:val="false"/>
          <w:color w:val="000000"/>
          <w:sz w:val="16"/>
        </w:rPr>
        <w:t>Australia.</w:t>
      </w:r>
    </w:p>
    <w:p>
      <w:pPr>
        <w:pStyle w:val="TextBody"/>
        <w:bidi w:val="0"/>
        <w:spacing w:lineRule="auto" w:line="288" w:before="153" w:after="283"/>
        <w:jc w:val="left"/>
        <w:rPr/>
      </w:pPr>
      <w:r>
        <w:rPr>
          <w:rFonts w:ascii="Arial;sans-serif" w:hAnsi="Arial;sans-serif"/>
          <w:b/>
          <w:color w:val="000000"/>
          <w:sz w:val="16"/>
        </w:rPr>
        <w:t>Note</w:t>
      </w:r>
      <w:r>
        <w:rPr>
          <w:color w:val="000000"/>
        </w:rPr>
        <w:t xml:space="preserve"> </w:t>
      </w:r>
      <w:r>
        <w:rPr>
          <w:rFonts w:ascii="Arial;sans-serif" w:hAnsi="Arial;sans-serif"/>
          <w:b/>
          <w:color w:val="000000"/>
          <w:sz w:val="16"/>
        </w:rPr>
        <w:t>Regarding</w:t>
      </w:r>
      <w:r>
        <w:rPr>
          <w:color w:val="000000"/>
        </w:rPr>
        <w:t xml:space="preserve"> </w:t>
      </w:r>
      <w:r>
        <w:rPr>
          <w:rFonts w:ascii="Arial;sans-serif" w:hAnsi="Arial;sans-serif"/>
          <w:b/>
          <w:color w:val="000000"/>
          <w:sz w:val="16"/>
        </w:rPr>
        <w:t>Forward-Looking</w:t>
      </w:r>
      <w:r>
        <w:rPr>
          <w:color w:val="000000"/>
        </w:rPr>
        <w:t xml:space="preserve"> </w:t>
      </w:r>
      <w:r>
        <w:rPr>
          <w:rFonts w:ascii="Arial;sans-serif" w:hAnsi="Arial;sans-serif"/>
          <w:b/>
          <w:color w:val="000000"/>
          <w:sz w:val="16"/>
        </w:rPr>
        <w:t>Statements</w:t>
      </w:r>
    </w:p>
    <w:p>
      <w:pPr>
        <w:pStyle w:val="TextBody"/>
        <w:bidi w:val="0"/>
        <w:spacing w:lineRule="auto" w:line="302" w:before="166" w:after="283"/>
        <w:ind w:left="0" w:right="0" w:firstLine="14"/>
        <w:jc w:val="left"/>
        <w:rPr/>
      </w:pPr>
      <w:r>
        <w:rPr>
          <w:rFonts w:ascii="Arial;sans-serif" w:hAnsi="Arial;sans-serif"/>
          <w:b w:val="false"/>
          <w:i/>
          <w:color w:val="000000"/>
          <w:sz w:val="16"/>
        </w:rPr>
        <w:t>This news release contains “forward-looking statements” within the meaning of the federal securities laws that are intended to qualify for the Safe</w:t>
      </w:r>
      <w:r>
        <w:rPr>
          <w:color w:val="000000"/>
        </w:rPr>
        <w:t xml:space="preserve"> </w:t>
      </w:r>
      <w:r>
        <w:rPr>
          <w:rFonts w:ascii="Arial;sans-serif" w:hAnsi="Arial;sans-serif"/>
          <w:b w:val="false"/>
          <w:i/>
          <w:color w:val="000000"/>
          <w:sz w:val="16"/>
        </w:rPr>
        <w:t>Harbor from liability established by the Private Securities Litigation Reform Act of 1995. “Forward-looking statements” generally can be identified by the</w:t>
      </w:r>
      <w:r>
        <w:rPr>
          <w:color w:val="000000"/>
        </w:rPr>
        <w:t xml:space="preserve"> </w:t>
      </w:r>
      <w:r>
        <w:rPr>
          <w:rFonts w:ascii="Arial;sans-serif" w:hAnsi="Arial;sans-serif"/>
          <w:b w:val="false"/>
          <w:i/>
          <w:color w:val="000000"/>
          <w:sz w:val="16"/>
        </w:rPr>
        <w:t>use</w:t>
      </w:r>
      <w:r>
        <w:rPr>
          <w:color w:val="000000"/>
        </w:rPr>
        <w:t xml:space="preserve"> </w:t>
      </w:r>
      <w:r>
        <w:rPr>
          <w:rFonts w:ascii="Arial;sans-serif" w:hAnsi="Arial;sans-serif"/>
          <w:b w:val="false"/>
          <w:i/>
          <w:color w:val="000000"/>
          <w:sz w:val="16"/>
        </w:rPr>
        <w:t>of</w:t>
      </w:r>
      <w:r>
        <w:rPr>
          <w:color w:val="000000"/>
        </w:rPr>
        <w:t xml:space="preserve"> </w:t>
      </w:r>
      <w:r>
        <w:rPr>
          <w:rFonts w:ascii="Arial;sans-serif" w:hAnsi="Arial;sans-serif"/>
          <w:b w:val="false"/>
          <w:i/>
          <w:color w:val="000000"/>
          <w:sz w:val="16"/>
        </w:rPr>
        <w:t>forward-looking</w:t>
      </w:r>
      <w:r>
        <w:rPr>
          <w:color w:val="000000"/>
        </w:rPr>
        <w:t xml:space="preserve"> </w:t>
      </w:r>
      <w:r>
        <w:rPr>
          <w:rFonts w:ascii="Arial;sans-serif" w:hAnsi="Arial;sans-serif"/>
          <w:b w:val="false"/>
          <w:i/>
          <w:color w:val="000000"/>
          <w:sz w:val="16"/>
        </w:rPr>
        <w:t>terminology</w:t>
      </w:r>
      <w:r>
        <w:rPr>
          <w:color w:val="000000"/>
        </w:rPr>
        <w:t xml:space="preserve"> </w:t>
      </w:r>
      <w:r>
        <w:rPr>
          <w:rFonts w:ascii="Arial;sans-serif" w:hAnsi="Arial;sans-serif"/>
          <w:b w:val="false"/>
          <w:i/>
          <w:color w:val="000000"/>
          <w:sz w:val="16"/>
        </w:rPr>
        <w:t>such</w:t>
      </w:r>
      <w:r>
        <w:rPr>
          <w:color w:val="000000"/>
        </w:rPr>
        <w:t xml:space="preserve"> </w:t>
      </w:r>
      <w:r>
        <w:rPr>
          <w:rFonts w:ascii="Arial;sans-serif" w:hAnsi="Arial;sans-serif"/>
          <w:b w:val="false"/>
          <w:i/>
          <w:color w:val="000000"/>
          <w:sz w:val="16"/>
        </w:rPr>
        <w:t>as “intends,” “expects,” “may,” and “will”</w:t>
      </w:r>
      <w:r>
        <w:rPr>
          <w:color w:val="000000"/>
        </w:rPr>
        <w:t xml:space="preserve"> </w:t>
      </w:r>
      <w:r>
        <w:rPr>
          <w:rFonts w:ascii="Arial;sans-serif" w:hAnsi="Arial;sans-serif"/>
          <w:b w:val="false"/>
          <w:i/>
          <w:color w:val="000000"/>
          <w:sz w:val="16"/>
        </w:rPr>
        <w:t>(or</w:t>
      </w:r>
      <w:r>
        <w:rPr>
          <w:color w:val="000000"/>
        </w:rPr>
        <w:t xml:space="preserve"> </w:t>
      </w:r>
      <w:r>
        <w:rPr>
          <w:rFonts w:ascii="Arial;sans-serif" w:hAnsi="Arial;sans-serif"/>
          <w:b w:val="false"/>
          <w:i/>
          <w:color w:val="000000"/>
          <w:sz w:val="16"/>
        </w:rPr>
        <w:t>the</w:t>
      </w:r>
      <w:r>
        <w:rPr>
          <w:color w:val="000000"/>
        </w:rPr>
        <w:t xml:space="preserve"> </w:t>
      </w:r>
      <w:r>
        <w:rPr>
          <w:rFonts w:ascii="Arial;sans-serif" w:hAnsi="Arial;sans-serif"/>
          <w:b w:val="false"/>
          <w:i/>
          <w:color w:val="000000"/>
          <w:sz w:val="16"/>
        </w:rPr>
        <w:t>negative</w:t>
      </w:r>
      <w:r>
        <w:rPr>
          <w:color w:val="000000"/>
        </w:rPr>
        <w:t xml:space="preserve"> </w:t>
      </w:r>
      <w:r>
        <w:rPr>
          <w:rFonts w:ascii="Arial;sans-serif" w:hAnsi="Arial;sans-serif"/>
          <w:b w:val="false"/>
          <w:i/>
          <w:color w:val="000000"/>
          <w:sz w:val="16"/>
        </w:rPr>
        <w:t>or</w:t>
      </w:r>
      <w:r>
        <w:rPr>
          <w:color w:val="000000"/>
        </w:rPr>
        <w:t xml:space="preserve"> </w:t>
      </w:r>
      <w:r>
        <w:rPr>
          <w:rFonts w:ascii="Arial;sans-serif" w:hAnsi="Arial;sans-serif"/>
          <w:b w:val="false"/>
          <w:i/>
          <w:color w:val="000000"/>
          <w:sz w:val="16"/>
        </w:rPr>
        <w:t>other</w:t>
      </w:r>
      <w:r>
        <w:rPr>
          <w:color w:val="000000"/>
        </w:rPr>
        <w:t xml:space="preserve"> </w:t>
      </w:r>
      <w:r>
        <w:rPr>
          <w:rFonts w:ascii="Arial;sans-serif" w:hAnsi="Arial;sans-serif"/>
          <w:b w:val="false"/>
          <w:i/>
          <w:color w:val="000000"/>
          <w:sz w:val="16"/>
        </w:rPr>
        <w:t>derivatives</w:t>
      </w:r>
      <w:r>
        <w:rPr>
          <w:color w:val="000000"/>
        </w:rPr>
        <w:t xml:space="preserve"> </w:t>
      </w:r>
      <w:r>
        <w:rPr>
          <w:rFonts w:ascii="Arial;sans-serif" w:hAnsi="Arial;sans-serif"/>
          <w:b w:val="false"/>
          <w:i/>
          <w:color w:val="000000"/>
          <w:sz w:val="16"/>
        </w:rPr>
        <w:t>of</w:t>
      </w:r>
      <w:r>
        <w:rPr>
          <w:color w:val="000000"/>
        </w:rPr>
        <w:t xml:space="preserve"> </w:t>
      </w:r>
      <w:r>
        <w:rPr>
          <w:rFonts w:ascii="Arial;sans-serif" w:hAnsi="Arial;sans-serif"/>
          <w:b w:val="false"/>
          <w:i/>
          <w:color w:val="000000"/>
          <w:sz w:val="16"/>
        </w:rPr>
        <w:t>each</w:t>
      </w:r>
      <w:r>
        <w:rPr>
          <w:color w:val="000000"/>
        </w:rPr>
        <w:t xml:space="preserve"> </w:t>
      </w:r>
      <w:r>
        <w:rPr>
          <w:rFonts w:ascii="Arial;sans-serif" w:hAnsi="Arial;sans-serif"/>
          <w:b w:val="false"/>
          <w:i/>
          <w:color w:val="000000"/>
          <w:sz w:val="16"/>
        </w:rPr>
        <w:t>of</w:t>
      </w:r>
      <w:r>
        <w:rPr>
          <w:color w:val="000000"/>
        </w:rPr>
        <w:t xml:space="preserve"> </w:t>
      </w:r>
      <w:r>
        <w:rPr>
          <w:rFonts w:ascii="Arial;sans-serif" w:hAnsi="Arial;sans-serif"/>
          <w:b w:val="false"/>
          <w:i/>
          <w:color w:val="000000"/>
          <w:sz w:val="16"/>
        </w:rPr>
        <w:t>these</w:t>
      </w:r>
      <w:r>
        <w:rPr>
          <w:color w:val="000000"/>
        </w:rPr>
        <w:t xml:space="preserve"> </w:t>
      </w:r>
      <w:r>
        <w:rPr>
          <w:rFonts w:ascii="Arial;sans-serif" w:hAnsi="Arial;sans-serif"/>
          <w:b w:val="false"/>
          <w:i/>
          <w:color w:val="000000"/>
          <w:sz w:val="16"/>
        </w:rPr>
        <w:t>terms)</w:t>
      </w:r>
      <w:r>
        <w:rPr>
          <w:color w:val="000000"/>
        </w:rPr>
        <w:t xml:space="preserve"> </w:t>
      </w:r>
      <w:r>
        <w:rPr>
          <w:rFonts w:ascii="Arial;sans-serif" w:hAnsi="Arial;sans-serif"/>
          <w:b w:val="false"/>
          <w:i/>
          <w:color w:val="000000"/>
          <w:sz w:val="16"/>
        </w:rPr>
        <w:t>or</w:t>
      </w:r>
      <w:r>
        <w:rPr>
          <w:color w:val="000000"/>
        </w:rPr>
        <w:t xml:space="preserve"> </w:t>
      </w:r>
      <w:r>
        <w:rPr>
          <w:rFonts w:ascii="Arial;sans-serif" w:hAnsi="Arial;sans-serif"/>
          <w:b w:val="false"/>
          <w:i/>
          <w:color w:val="000000"/>
          <w:sz w:val="16"/>
        </w:rPr>
        <w:t>similar terminology. The “forward-looking statements” include, without limitation, statements regarding the Company’s expectations regarding the offering of the notes and the redemption of the 2028 notes. These statements are based on management’s estimates and assumptions with respect to future events and financial</w:t>
      </w:r>
      <w:r>
        <w:rPr>
          <w:color w:val="000000"/>
        </w:rPr>
        <w:t xml:space="preserve"> </w:t>
      </w:r>
      <w:r>
        <w:rPr>
          <w:rFonts w:ascii="Arial;sans-serif" w:hAnsi="Arial;sans-serif"/>
          <w:b w:val="false"/>
          <w:i/>
          <w:color w:val="000000"/>
          <w:sz w:val="16"/>
        </w:rPr>
        <w:t>performance and</w:t>
      </w:r>
      <w:r>
        <w:rPr>
          <w:color w:val="000000"/>
        </w:rPr>
        <w:t xml:space="preserve"> </w:t>
      </w:r>
      <w:r>
        <w:rPr>
          <w:rFonts w:ascii="Arial;sans-serif" w:hAnsi="Arial;sans-serif"/>
          <w:b w:val="false"/>
          <w:i/>
          <w:color w:val="000000"/>
          <w:sz w:val="16"/>
        </w:rPr>
        <w:t>are</w:t>
      </w:r>
      <w:r>
        <w:rPr>
          <w:color w:val="000000"/>
        </w:rPr>
        <w:t xml:space="preserve"> </w:t>
      </w:r>
      <w:r>
        <w:rPr>
          <w:rFonts w:ascii="Arial;sans-serif" w:hAnsi="Arial;sans-serif"/>
          <w:b w:val="false"/>
          <w:i/>
          <w:color w:val="000000"/>
          <w:sz w:val="16"/>
        </w:rPr>
        <w:t>believed to be reasonable,</w:t>
      </w:r>
      <w:r>
        <w:rPr>
          <w:color w:val="000000"/>
        </w:rPr>
        <w:t xml:space="preserve"> </w:t>
      </w:r>
      <w:r>
        <w:rPr>
          <w:rFonts w:ascii="Arial;sans-serif" w:hAnsi="Arial;sans-serif"/>
          <w:b w:val="false"/>
          <w:i/>
          <w:color w:val="000000"/>
          <w:sz w:val="16"/>
        </w:rPr>
        <w:t>though are inherently uncertain</w:t>
      </w:r>
      <w:r>
        <w:rPr>
          <w:color w:val="000000"/>
        </w:rPr>
        <w:t xml:space="preserve"> </w:t>
      </w:r>
      <w:r>
        <w:rPr>
          <w:rFonts w:ascii="Arial;sans-serif" w:hAnsi="Arial;sans-serif"/>
          <w:b w:val="false"/>
          <w:i/>
          <w:color w:val="000000"/>
          <w:sz w:val="16"/>
        </w:rPr>
        <w:t>and</w:t>
      </w:r>
      <w:r>
        <w:rPr>
          <w:color w:val="000000"/>
        </w:rPr>
        <w:t xml:space="preserve"> </w:t>
      </w:r>
      <w:r>
        <w:rPr>
          <w:rFonts w:ascii="Arial;sans-serif" w:hAnsi="Arial;sans-serif"/>
          <w:b w:val="false"/>
          <w:i/>
          <w:color w:val="000000"/>
          <w:sz w:val="16"/>
        </w:rPr>
        <w:t>difficult to predict.</w:t>
      </w:r>
      <w:r>
        <w:rPr>
          <w:color w:val="000000"/>
        </w:rPr>
        <w:t xml:space="preserve"> </w:t>
      </w:r>
      <w:r>
        <w:rPr>
          <w:rFonts w:ascii="Arial;sans-serif" w:hAnsi="Arial;sans-serif"/>
          <w:b w:val="false"/>
          <w:i/>
          <w:color w:val="000000"/>
          <w:sz w:val="16"/>
        </w:rPr>
        <w:t>Actual</w:t>
      </w:r>
      <w:r>
        <w:rPr>
          <w:color w:val="000000"/>
        </w:rPr>
        <w:t xml:space="preserve"> </w:t>
      </w:r>
      <w:r>
        <w:rPr>
          <w:rFonts w:ascii="Arial;sans-serif" w:hAnsi="Arial;sans-serif"/>
          <w:b w:val="false"/>
          <w:i/>
          <w:color w:val="000000"/>
          <w:sz w:val="16"/>
        </w:rPr>
        <w:t>results</w:t>
      </w:r>
      <w:r>
        <w:rPr>
          <w:color w:val="000000"/>
        </w:rPr>
        <w:t xml:space="preserve"> </w:t>
      </w:r>
      <w:r>
        <w:rPr>
          <w:rFonts w:ascii="Arial;sans-serif" w:hAnsi="Arial;sans-serif"/>
          <w:b w:val="false"/>
          <w:i/>
          <w:color w:val="000000"/>
          <w:sz w:val="16"/>
        </w:rPr>
        <w:t>could differ materially from those expected as a result of a variety of factors, including general economic and business conditions.</w:t>
      </w:r>
      <w:r>
        <w:rPr>
          <w:color w:val="000000"/>
        </w:rPr>
        <w:t xml:space="preserve"> </w:t>
      </w:r>
      <w:r>
        <w:rPr>
          <w:rFonts w:ascii="Arial;sans-serif" w:hAnsi="Arial;sans-serif"/>
          <w:b w:val="false"/>
          <w:i/>
          <w:color w:val="000000"/>
          <w:sz w:val="16"/>
        </w:rPr>
        <w:t>A discussion of other factors that could</w:t>
      </w:r>
      <w:r>
        <w:rPr>
          <w:color w:val="000000"/>
        </w:rPr>
        <w:t xml:space="preserve"> </w:t>
      </w:r>
      <w:r>
        <w:rPr>
          <w:rFonts w:ascii="Arial;sans-serif" w:hAnsi="Arial;sans-serif"/>
          <w:b w:val="false"/>
          <w:i/>
          <w:color w:val="000000"/>
          <w:sz w:val="16"/>
        </w:rPr>
        <w:t>cause</w:t>
      </w:r>
      <w:r>
        <w:rPr>
          <w:color w:val="000000"/>
        </w:rPr>
        <w:t xml:space="preserve"> </w:t>
      </w:r>
      <w:r>
        <w:rPr>
          <w:rFonts w:ascii="Arial;sans-serif" w:hAnsi="Arial;sans-serif"/>
          <w:b w:val="false"/>
          <w:i/>
          <w:color w:val="000000"/>
          <w:sz w:val="16"/>
        </w:rPr>
        <w:t>results to vary</w:t>
      </w:r>
      <w:r>
        <w:rPr>
          <w:color w:val="000000"/>
        </w:rPr>
        <w:t xml:space="preserve"> </w:t>
      </w:r>
      <w:r>
        <w:rPr>
          <w:rFonts w:ascii="Arial;sans-serif" w:hAnsi="Arial;sans-serif"/>
          <w:b w:val="false"/>
          <w:i/>
          <w:color w:val="000000"/>
          <w:sz w:val="16"/>
        </w:rPr>
        <w:t>is included</w:t>
      </w:r>
      <w:r>
        <w:rPr>
          <w:color w:val="000000"/>
        </w:rPr>
        <w:t xml:space="preserve"> </w:t>
      </w:r>
      <w:r>
        <w:rPr>
          <w:rFonts w:ascii="Arial;sans-serif" w:hAnsi="Arial;sans-serif"/>
          <w:b w:val="false"/>
          <w:i/>
          <w:color w:val="000000"/>
          <w:sz w:val="16"/>
        </w:rPr>
        <w:t>in the</w:t>
      </w:r>
      <w:r>
        <w:rPr>
          <w:color w:val="000000"/>
        </w:rPr>
        <w:t xml:space="preserve"> </w:t>
      </w:r>
      <w:r>
        <w:rPr>
          <w:rFonts w:ascii="Arial;sans-serif" w:hAnsi="Arial;sans-serif"/>
          <w:b w:val="false"/>
          <w:i/>
          <w:color w:val="000000"/>
          <w:sz w:val="16"/>
        </w:rPr>
        <w:t>Company’s Annual Report on Form 10-K for the fiscal year</w:t>
      </w:r>
      <w:r>
        <w:rPr>
          <w:color w:val="000000"/>
        </w:rPr>
        <w:t xml:space="preserve"> </w:t>
      </w:r>
      <w:r>
        <w:rPr>
          <w:rFonts w:ascii="Arial;sans-serif" w:hAnsi="Arial;sans-serif"/>
          <w:b w:val="false"/>
          <w:i/>
          <w:color w:val="000000"/>
          <w:sz w:val="16"/>
        </w:rPr>
        <w:t>ended March</w:t>
      </w:r>
      <w:r>
        <w:rPr>
          <w:color w:val="000000"/>
        </w:rPr>
        <w:t xml:space="preserve"> </w:t>
      </w:r>
      <w:r>
        <w:rPr>
          <w:rFonts w:ascii="Arial;sans-serif" w:hAnsi="Arial;sans-serif"/>
          <w:b w:val="false"/>
          <w:i/>
          <w:color w:val="000000"/>
          <w:sz w:val="16"/>
        </w:rPr>
        <w:t>31, 2026 and</w:t>
      </w:r>
      <w:r>
        <w:rPr>
          <w:color w:val="000000"/>
        </w:rPr>
        <w:t xml:space="preserve"> </w:t>
      </w:r>
      <w:r>
        <w:rPr>
          <w:rFonts w:ascii="Arial;sans-serif" w:hAnsi="Arial;sans-serif"/>
          <w:b w:val="false"/>
          <w:i/>
          <w:color w:val="000000"/>
          <w:sz w:val="16"/>
        </w:rPr>
        <w:t>other</w:t>
      </w:r>
      <w:r>
        <w:rPr>
          <w:color w:val="000000"/>
        </w:rPr>
        <w:t xml:space="preserve"> </w:t>
      </w:r>
      <w:r>
        <w:rPr>
          <w:rFonts w:ascii="Arial;sans-serif" w:hAnsi="Arial;sans-serif"/>
          <w:b w:val="false"/>
          <w:i/>
          <w:color w:val="000000"/>
          <w:sz w:val="16"/>
        </w:rPr>
        <w:t>periodic reports filed with the Securities and Exchange Commission.</w:t>
      </w:r>
    </w:p>
    <w:p>
      <w:pPr>
        <w:pStyle w:val="TextBody"/>
        <w:bidi w:val="0"/>
        <w:spacing w:lineRule="auto" w:line="288" w:before="145" w:after="283"/>
        <w:jc w:val="left"/>
        <w:rPr/>
      </w:pPr>
      <w:r>
        <w:rPr>
          <w:rFonts w:ascii="Arial;sans-serif" w:hAnsi="Arial;sans-serif"/>
          <w:b w:val="false"/>
          <w:color w:val="000000"/>
          <w:sz w:val="16"/>
        </w:rPr>
        <w:t>Investor</w:t>
      </w:r>
      <w:r>
        <w:rPr>
          <w:color w:val="000000"/>
        </w:rPr>
        <w:t xml:space="preserve"> </w:t>
      </w:r>
      <w:r>
        <w:rPr>
          <w:rFonts w:ascii="Arial;sans-serif" w:hAnsi="Arial;sans-serif"/>
          <w:b w:val="false"/>
          <w:color w:val="000000"/>
          <w:sz w:val="16"/>
        </w:rPr>
        <w:t>Relations</w:t>
      </w:r>
      <w:r>
        <w:rPr>
          <w:color w:val="000000"/>
        </w:rPr>
        <w:t xml:space="preserve"> </w:t>
      </w:r>
      <w:r>
        <w:rPr>
          <w:rFonts w:ascii="Arial;sans-serif" w:hAnsi="Arial;sans-serif"/>
          <w:b w:val="false"/>
          <w:color w:val="000000"/>
          <w:sz w:val="16"/>
        </w:rPr>
        <w:t>Contact</w:t>
      </w:r>
    </w:p>
    <w:p>
      <w:pPr>
        <w:pStyle w:val="TextBody"/>
        <w:bidi w:val="0"/>
        <w:spacing w:lineRule="auto" w:line="288" w:before="16" w:after="283"/>
        <w:jc w:val="left"/>
        <w:rPr/>
      </w:pPr>
      <w:r>
        <w:rPr>
          <w:rFonts w:ascii="Arial;sans-serif" w:hAnsi="Arial;sans-serif"/>
          <w:b w:val="false"/>
          <w:color w:val="000000"/>
          <w:sz w:val="16"/>
        </w:rPr>
        <w:t>Phil</w:t>
      </w:r>
      <w:r>
        <w:rPr>
          <w:color w:val="000000"/>
        </w:rPr>
        <w:t xml:space="preserve"> </w:t>
      </w:r>
      <w:r>
        <w:rPr>
          <w:rFonts w:ascii="Arial;sans-serif" w:hAnsi="Arial;sans-serif"/>
          <w:b w:val="false"/>
          <w:color w:val="000000"/>
          <w:sz w:val="16"/>
        </w:rPr>
        <w:t>Terpolilli,</w:t>
      </w:r>
      <w:r>
        <w:rPr>
          <w:color w:val="000000"/>
        </w:rPr>
        <w:t xml:space="preserve"> </w:t>
      </w:r>
      <w:r>
        <w:rPr>
          <w:rFonts w:ascii="Arial;sans-serif" w:hAnsi="Arial;sans-serif"/>
          <w:b w:val="false"/>
          <w:color w:val="000000"/>
          <w:sz w:val="16"/>
        </w:rPr>
        <w:t>CFA,</w:t>
      </w:r>
      <w:r>
        <w:rPr>
          <w:color w:val="000000"/>
        </w:rPr>
        <w:t xml:space="preserve"> </w:t>
      </w:r>
      <w:r>
        <w:rPr>
          <w:rFonts w:ascii="Arial;sans-serif" w:hAnsi="Arial;sans-serif"/>
          <w:b w:val="false"/>
          <w:color w:val="000000"/>
          <w:sz w:val="16"/>
        </w:rPr>
        <w:t>914-524-6819</w:t>
      </w:r>
    </w:p>
    <w:p>
      <w:pPr>
        <w:pStyle w:val="TextBody"/>
        <w:bidi w:val="0"/>
        <w:spacing w:lineRule="auto" w:line="288" w:before="15" w:after="283"/>
        <w:jc w:val="left"/>
        <w:rPr>
          <w:rFonts w:ascii="Arial;sans-serif" w:hAnsi="Arial;sans-serif"/>
          <w:b/>
          <w:color w:val="0000ED"/>
          <w:sz w:val="16"/>
          <w:u w:val="single"/>
        </w:rPr>
      </w:pPr>
      <w:r>
        <w:rPr>
          <w:rFonts w:ascii="Arial;sans-serif" w:hAnsi="Arial;sans-serif"/>
          <w:b/>
          <w:color w:val="0000ED"/>
          <w:sz w:val="16"/>
          <w:u w:val="single"/>
        </w:rPr>
        <w:t>irinquiries@prestigebrands.com</w:t>
      </w:r>
    </w:p>
    <w:p>
      <w:pPr>
        <w:pStyle w:val="TextBody"/>
        <w:bidi w:val="0"/>
        <w:spacing w:lineRule="auto" w:line="288" w:before="166" w:after="283"/>
        <w:jc w:val="left"/>
        <w:rPr/>
      </w:pPr>
      <w:r>
        <w:rPr>
          <w:rFonts w:ascii="Arial;sans-serif" w:hAnsi="Arial;sans-serif"/>
          <w:b w:val="false"/>
          <w:color w:val="000000"/>
          <w:sz w:val="16"/>
        </w:rPr>
        <w:t>Source:</w:t>
      </w:r>
      <w:r>
        <w:rPr>
          <w:color w:val="000000"/>
        </w:rPr>
        <w:t xml:space="preserve"> </w:t>
      </w:r>
      <w:r>
        <w:rPr>
          <w:rFonts w:ascii="Arial;sans-serif" w:hAnsi="Arial;sans-serif"/>
          <w:b w:val="false"/>
          <w:color w:val="000000"/>
          <w:sz w:val="16"/>
        </w:rPr>
        <w:t>Prestige</w:t>
      </w:r>
      <w:r>
        <w:rPr>
          <w:color w:val="000000"/>
        </w:rPr>
        <w:t xml:space="preserve"> </w:t>
      </w:r>
      <w:r>
        <w:rPr>
          <w:rFonts w:ascii="Arial;sans-serif" w:hAnsi="Arial;sans-serif"/>
          <w:b w:val="false"/>
          <w:color w:val="000000"/>
          <w:sz w:val="16"/>
        </w:rPr>
        <w:t>Consumer</w:t>
      </w:r>
      <w:r>
        <w:rPr>
          <w:color w:val="000000"/>
        </w:rPr>
        <w:t xml:space="preserve"> </w:t>
      </w:r>
      <w:r>
        <w:rPr>
          <w:rFonts w:ascii="Arial;sans-serif" w:hAnsi="Arial;sans-serif"/>
          <w:b w:val="false"/>
          <w:color w:val="000000"/>
          <w:sz w:val="16"/>
        </w:rPr>
        <w:t>Healthcare</w:t>
      </w:r>
      <w:r>
        <w:rPr>
          <w:color w:val="000000"/>
        </w:rPr>
        <w:t xml:space="preserve"> </w:t>
      </w:r>
      <w:r>
        <w:rPr>
          <w:rFonts w:ascii="Arial;sans-serif" w:hAnsi="Arial;sans-serif"/>
          <w:b w:val="false"/>
          <w:color w:val="000000"/>
          <w:sz w:val="16"/>
        </w:rPr>
        <w:t>Inc.</w:t>
      </w:r>
    </w:p>
    <w:p>
      <w:pPr>
        <w:pStyle w:val="TextBody"/>
        <w:bidi w:val="0"/>
        <w:spacing w:before="0" w:after="0"/>
        <w:jc w:val="left"/>
        <w:rPr/>
      </w:pPr>
      <w:r>
        <w:rPr/>
      </w:r>
    </w:p>
    <w:p>
      <w:pPr>
        <w:pStyle w:val="TextBody"/>
        <w:bidi w:val="0"/>
        <w:spacing w:before="53" w:after="283"/>
        <w:jc w:val="left"/>
        <w:rPr/>
      </w:pPr>
      <w:r>
        <w:rPr/>
      </w:r>
    </w:p>
    <w:p>
      <w:pPr>
        <w:pStyle w:val="TextBody"/>
        <w:bidi w:val="0"/>
        <w:spacing w:before="14" w:after="283"/>
        <w:jc w:val="left"/>
        <w:rPr/>
      </w:pPr>
      <w:r>
        <w:rPr/>
        <w:drawing>
          <wp:inline distT="0" distB="0" distL="0" distR="0">
            <wp:extent cx="1428750" cy="485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428750" cy="485775"/>
                    </a:xfrm>
                    <a:prstGeom prst="rect">
                      <a:avLst/>
                    </a:prstGeom>
                  </pic:spPr>
                </pic:pic>
              </a:graphicData>
            </a:graphic>
          </wp:inline>
        </w:drawing>
      </w:r>
    </w:p>
    <w:p>
      <w:pPr>
        <w:pStyle w:val="TextBody"/>
        <w:bidi w:val="0"/>
        <w:spacing w:lineRule="auto" w:line="288"/>
        <w:jc w:val="left"/>
        <w:rPr/>
      </w:pPr>
      <w:r>
        <w:rPr>
          <w:rFonts w:ascii="Arial;sans-serif" w:hAnsi="Arial;sans-serif"/>
          <w:b w:val="false"/>
          <w:color w:val="000000"/>
          <w:sz w:val="16"/>
        </w:rPr>
        <w:t>Source:</w:t>
      </w:r>
      <w:r>
        <w:rPr>
          <w:color w:val="000000"/>
        </w:rPr>
        <w:t xml:space="preserve"> </w:t>
      </w:r>
      <w:r>
        <w:rPr>
          <w:rFonts w:ascii="Arial;sans-serif" w:hAnsi="Arial;sans-serif"/>
          <w:b w:val="false"/>
          <w:color w:val="000000"/>
          <w:sz w:val="16"/>
        </w:rPr>
        <w:t>Prestige</w:t>
      </w:r>
      <w:r>
        <w:rPr>
          <w:color w:val="000000"/>
        </w:rPr>
        <w:t xml:space="preserve"> </w:t>
      </w:r>
      <w:r>
        <w:rPr>
          <w:rFonts w:ascii="Arial;sans-serif" w:hAnsi="Arial;sans-serif"/>
          <w:b w:val="false"/>
          <w:color w:val="000000"/>
          <w:sz w:val="16"/>
        </w:rPr>
        <w:t>Consumer</w:t>
      </w:r>
      <w:r>
        <w:rPr>
          <w:color w:val="000000"/>
        </w:rPr>
        <w:t xml:space="preserve"> </w:t>
      </w:r>
      <w:r>
        <w:rPr>
          <w:rFonts w:ascii="Arial;sans-serif" w:hAnsi="Arial;sans-serif"/>
          <w:b w:val="false"/>
          <w:color w:val="000000"/>
          <w:sz w:val="16"/>
        </w:rPr>
        <w:t>Healthcare</w:t>
      </w:r>
      <w:r>
        <w:rPr>
          <w:color w:val="000000"/>
        </w:rPr>
        <w:t xml:space="preserve"> </w:t>
      </w:r>
      <w:r>
        <w:rPr>
          <w:rFonts w:ascii="Arial;sans-serif" w:hAnsi="Arial;sans-serif"/>
          <w:b w:val="false"/>
          <w:color w:val="000000"/>
          <w:sz w:val="16"/>
        </w:rPr>
        <w:t>Inc.</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Prestige Consumer Healthcare Inc Completes Acquisition of LaCorium Health, Prices $400 Million Senior Notes Offering, and Announces First Quarter Fiscal 2027 Earnings Results Date</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TARRYTOWN, N.Y., July 6, 2026 (GLOBE NEWSWIRE) -- Prestige Consumer Healthcare Inc. (NYSE:PBH) (“Prestige”) today announced that it has closed the previously announced acquisition of LaCorium Health (“LaCorium”), priced a private offering of $400 million in senior notes, and will report its first quarter fiscal 2027 results on August 6, 2026.</w: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Completion of LaCorium Health Acquisition</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 xml:space="preserve">The Company completed the acquisition on July 1, 2026. The closing was finalized pursuant to the terms of the definitive agreement announced on May 13, 2026, under which Prestige agreed to acquire LaCorium for approximately $150 million in cash. The Company financed the transaction with cash on hand and existing credit facilities. </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Founded in Australia and introduced in 1998, LaCorium is a leader in Australian therapeutic skin care designed to treat individual skin ailments. Products are sold under the Dermal Therapy®, Flexitol®, and Crampeze® brands in need-state categories such as lip care (cold sores), skin care (eczema &amp; acne), foot care (heel balm, antifungal), hair &amp; scalp (eczema), and more. Approximately 75% of LaCorium’s sales are generated in Australia, where the brand holds the #1 market position in lip care and the #3 position in foot care.</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 xml:space="preserve">LaCorium generates approximately $40 million in revenue annually and is expected to generate approximately $12 million in EBITDA, including the benefits from anticipated synergies, once the business is fully integrated. The Company expects LaCorium to deliver strong long-term revenue growth, supported by category growth, innovation, and continued geographic expansion. </w: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Pricing of Senior Notes Offering</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Prestige has also priced an offering of $400 million in aggregate principal amount of 6.25% senior notes due 2034 (the “notes”) in a private offering. The sale of the notes is expected to be completed on or about July 15, 2026, subject to customary closing conditions. The notes will be senior unsecured obligations of Prestige Brands, Inc. and will be guaranteed by the Company and certain of its domestic subsidiaries. The Company intends to use the net proceeds from the offering, together with cash on hand, to redeem all $400 million of Prestige’s’ outstanding 5.125% Senior Notes due January 2028, and to pay related fees and expenses. The change in interest expense is contemplated in Prestige’s medium-term outlook provided on May 13, 2026.</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The notes and related guarantees are being offered only to qualified institutional buyers in reliance on Rule 144A under the Securities Act of 1933, as amended (the “Securities Act”) or, outside the United States, to persons other than “U.S. persons” in compliance with Regulation S under the Securities Act. This press release does not constitute an offer to sell or the solicitation of an offer to buy the notes and related guarantees. Any offers of the notes and related guarantees will be made only by means of a private offering memorandum. The notes and related guarantees have not been registered under the Securities Act, or the securities laws of any other jurisdiction, and may not be offered or sold in the United States without registration or an applicable exemption from registration requirements.</w: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First Quarter Fiscal 2027 Earnings Call</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The Company will issue its fiscal 2027 first quarter earnings release on Thursday, August 6, 2026 before the market open. The Company will host a conference call to discuss the results that same morning at 8:30 a.m. ET.</w:t>
      </w:r>
    </w:p>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Exhibit 99.2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6.1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319" w:before="0" w:after="200"/>
        <w:jc w:val="left"/>
        <w:rPr/>
      </w:pPr>
      <w:r>
        <w:rPr>
          <w:rFonts w:ascii="sans-serif" w:hAnsi="sans-serif"/>
          <w:b w:val="false"/>
          <w:color w:val="000000"/>
          <w:sz w:val="20"/>
        </w:rPr>
        <w:t>To participate in the live Internet webcast of the conference call, it can be accessed from the Investor Relations page of </w:t>
      </w:r>
      <w:r>
        <w:rPr>
          <w:rFonts w:ascii="sans-serif" w:hAnsi="sans-serif"/>
          <w:b/>
          <w:color w:val="000000"/>
          <w:sz w:val="20"/>
        </w:rPr>
        <w:t>www.prestigeconsumerhealthcare.com</w:t>
      </w:r>
      <w:r>
        <w:rPr>
          <w:rFonts w:ascii="sans-serif" w:hAnsi="sans-serif"/>
          <w:b w:val="false"/>
          <w:color w:val="000000"/>
          <w:sz w:val="20"/>
        </w:rPr>
        <w:t>. To participate in the conference call via phone, participants may register for the call </w:t>
      </w:r>
      <w:r>
        <w:rPr>
          <w:rFonts w:ascii="sans-serif" w:hAnsi="sans-serif"/>
          <w:b/>
          <w:color w:val="000000"/>
          <w:sz w:val="20"/>
        </w:rPr>
        <w:t>here</w:t>
      </w:r>
      <w:r>
        <w:rPr>
          <w:color w:val="000000"/>
        </w:rPr>
        <w:t> </w:t>
      </w:r>
      <w:r>
        <w:rPr>
          <w:rFonts w:ascii="sans-serif" w:hAnsi="sans-serif"/>
          <w:b w:val="false"/>
          <w:color w:val="000000"/>
          <w:sz w:val="20"/>
        </w:rPr>
        <w:t>to receive dial-in details and a unique pin. While not required, it is recommended to join 10 minutes prior to the event start.</w:t>
      </w:r>
    </w:p>
    <w:p>
      <w:pPr>
        <w:pStyle w:val="TextBody"/>
        <w:bidi w:val="0"/>
        <w:spacing w:lineRule="auto" w:line="319" w:before="0" w:after="200"/>
        <w:jc w:val="left"/>
        <w:rPr>
          <w:rFonts w:ascii="sans-serif" w:hAnsi="sans-serif"/>
          <w:b w:val="false"/>
          <w:color w:val="000000"/>
          <w:sz w:val="20"/>
        </w:rPr>
      </w:pPr>
      <w:r>
        <w:rPr>
          <w:rFonts w:ascii="sans-serif" w:hAnsi="sans-serif"/>
          <w:b w:val="false"/>
          <w:color w:val="000000"/>
          <w:sz w:val="20"/>
        </w:rPr>
        <w:t>A conference call replay will be available for approximately one week following completion of the live call and can be accessed on the Company’s Investor Relations page.</w: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About Prestige Consumer Healthcare Inc.</w:t>
      </w:r>
    </w:p>
    <w:p>
      <w:pPr>
        <w:pStyle w:val="TextBody"/>
        <w:bidi w:val="0"/>
        <w:spacing w:lineRule="auto" w:line="319" w:before="0" w:after="0"/>
        <w:jc w:val="left"/>
        <w:rPr/>
      </w:pPr>
      <w:r>
        <w:rPr>
          <w:rFonts w:ascii="sans-serif" w:hAnsi="sans-serif"/>
          <w:b w:val="false"/>
          <w:color w:val="000000"/>
          <w:sz w:val="20"/>
          <w:shd w:fill="FFFFFF" w:val="clear"/>
        </w:rPr>
        <w:t>Prestige Consumer Healthcare markets, sells, manufactures and distributes consumer healthcare products to retail outlets throughout the U.S. and Canada, Australia, and in certain other international markets. The Company’s diverse portfolio of brands include Breathe Right® nasal strips, Monistat</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and Summer’s Eve</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women's health products, BC</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and Goody's</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pain relievers, Clear Eyes</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and TheraTears® eye care products, DenTek</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specialty oral care products, Dramamine</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motion sickness treatments, Fleet</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enemas and glycerin suppositories, Chloraseptic</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and Luden's</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sore throat treatments and drops, Compound W</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wart treatments, Little Remedies</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pediatric over-the-counter products, Boudreaux’s Butt Paste</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diaper rash ointments, Nix</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lice treatment, Debrox</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earwax remover, Gaviscon</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antacid in Canada, and Hydralyte</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rehydration products and the Fess</w:t>
      </w:r>
      <w:r>
        <w:rPr>
          <w:rFonts w:ascii="sans-serif" w:hAnsi="sans-serif"/>
          <w:b w:val="false"/>
          <w:color w:val="000000"/>
          <w:sz w:val="13"/>
          <w:shd w:fill="FFFFFF" w:val="clear"/>
        </w:rPr>
        <w:t>®</w:t>
      </w:r>
      <w:r>
        <w:rPr>
          <w:color w:val="000000"/>
          <w:shd w:fill="FFFFFF" w:val="clear"/>
        </w:rPr>
        <w:t> </w:t>
      </w:r>
      <w:r>
        <w:rPr>
          <w:rFonts w:ascii="sans-serif" w:hAnsi="sans-serif"/>
          <w:b w:val="false"/>
          <w:color w:val="000000"/>
          <w:sz w:val="20"/>
          <w:shd w:fill="FFFFFF" w:val="clear"/>
        </w:rPr>
        <w:t>line of nasal and sinus care products in Australia. Visit the Company's website at </w:t>
      </w:r>
      <w:r>
        <w:rPr>
          <w:rFonts w:ascii="sans-serif" w:hAnsi="sans-serif"/>
          <w:b/>
          <w:color w:val="000000"/>
          <w:sz w:val="20"/>
          <w:shd w:fill="FFFFFF" w:val="clear"/>
        </w:rPr>
        <w:t>www.prestigeconsumerhealthcare.com</w:t>
      </w:r>
      <w:r>
        <w:rPr>
          <w:rFonts w:ascii="sans-serif" w:hAnsi="sans-serif"/>
          <w:b w:val="false"/>
          <w:color w:val="000000"/>
          <w:sz w:val="20"/>
          <w:shd w:fill="FFFFFF" w:val="clear"/>
        </w:rPr>
        <w:t>.</w:t>
      </w:r>
    </w:p>
    <w:p>
      <w:pPr>
        <w:pStyle w:val="TextBody"/>
        <w:bidi w:val="0"/>
        <w:spacing w:before="0" w:after="200"/>
        <w:jc w:val="left"/>
        <w:rPr/>
      </w:pPr>
      <w:r>
        <w:rPr/>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Note Regarding Forward-Looking Statements</w:t>
      </w:r>
    </w:p>
    <w:p>
      <w:pPr>
        <w:pStyle w:val="TextBody"/>
        <w:bidi w:val="0"/>
        <w:spacing w:lineRule="auto" w:line="288"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This news release contains “forward-looking statements” within the meaning of the federal securities laws that are intended to qualify for the Safe Harbor from liability established by the Private Securities Litigation Reform Act of 1995. “Forward-looking statements” generally can be identified by the use of forward-looking terminology such as “expected,” “will,” and “intends” (or the negative or other derivatives of each of these terms) or similar terminology. The “forward-looking statements” include, without limitation, statements regarding the Company’s expectations regarding the completion of the sale of the notes and the redemption of the 2028 notes. These statements are based on management’s estimates and assumptions with respect to future events and financial performance and are believed to be reasonable, though are inherently uncertain and difficult to predict. Actual results could differ materially from those expected as a result of a variety of factors, including general economic and business conditions. A discussion of other factors that could cause results to vary is included in the Company’s Annual Report on Form 10-K for the fiscal year ended March 31, 2026 and other periodic reports filed with the Securities and Exchange Commission.</w:t>
      </w:r>
    </w:p>
    <w:p>
      <w:pPr>
        <w:pStyle w:val="TextBody"/>
        <w:bidi w:val="0"/>
        <w:spacing w:before="0" w:after="0"/>
        <w:jc w:val="left"/>
        <w:rPr/>
      </w:pPr>
      <w:r>
        <w:rPr/>
      </w:r>
    </w:p>
    <w:p>
      <w:pPr>
        <w:pStyle w:val="TextBody"/>
        <w:bidi w:val="0"/>
        <w:spacing w:lineRule="auto" w:line="501" w:before="0" w:after="0"/>
        <w:jc w:val="left"/>
        <w:rPr>
          <w:rFonts w:ascii="sans-serif" w:hAnsi="sans-serif"/>
          <w:b w:val="false"/>
          <w:color w:val="000000"/>
          <w:sz w:val="20"/>
          <w:shd w:fill="FFFFFF" w:val="clear"/>
        </w:rPr>
      </w:pPr>
      <w:r>
        <w:rPr>
          <w:rFonts w:ascii="sans-serif" w:hAnsi="sans-serif"/>
          <w:b w:val="false"/>
          <w:color w:val="000000"/>
          <w:sz w:val="20"/>
          <w:shd w:fill="FFFFFF" w:val="clear"/>
        </w:rPr>
        <w:t>Investor Relations Contact</w:t>
      </w:r>
    </w:p>
    <w:p>
      <w:pPr>
        <w:pStyle w:val="TextBody"/>
        <w:bidi w:val="0"/>
        <w:spacing w:lineRule="auto" w:line="501"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Phil Terpolilli, CFA, 914-524-6819</w:t>
      </w:r>
    </w:p>
    <w:p>
      <w:pPr>
        <w:pStyle w:val="TextBody"/>
        <w:bidi w:val="0"/>
        <w:spacing w:lineRule="auto" w:line="319" w:before="0" w:after="200"/>
        <w:jc w:val="left"/>
        <w:rPr>
          <w:rFonts w:ascii="sans-serif" w:hAnsi="sans-serif"/>
          <w:b/>
          <w:color w:val="000000"/>
          <w:sz w:val="20"/>
        </w:rPr>
      </w:pPr>
      <w:r>
        <w:rPr>
          <w:rFonts w:ascii="sans-serif" w:hAnsi="sans-serif"/>
          <w:b/>
          <w:color w:val="000000"/>
          <w:sz w:val="20"/>
        </w:rPr>
        <w:t>irinquiries@prestigebrands.com</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2570</Words>
  <Characters>14482</Characters>
  <CharactersWithSpaces>16993</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