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415d1_8k.htm"/>
      <w:bookmarkStart w:id="1" w:name="kstm262041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UNITED STATES</w:t>
        <w:br/>
        <w:t>SECURITIES AND EXCHANGE COMMISSION</w:t>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071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val="false"/>
          <w:i w:val="false"/>
          <w:caps w:val="false"/>
          <w:smallCaps w:val="false"/>
          <w:sz w:val="20"/>
        </w:rPr>
        <w:t>July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0_edei--EntityRegistrantName_c2026"/>
      <w:bookmarkEnd w:id="4"/>
      <w:r>
        <w:rPr>
          <w:rFonts w:ascii="Times New Roman;Times;Serif" w:hAnsi="Times New Roman;Times;Serif"/>
          <w:b/>
          <w:i w:val="false"/>
          <w:caps w:val="false"/>
          <w:smallCaps w:val="false"/>
          <w:sz w:val="28"/>
        </w:rPr>
        <w:t>PRESTIGE CONSUMER HEALTHCARE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7455" w:type="dxa"/>
        <w:jc w:val="left"/>
        <w:tblInd w:w="0" w:type="dxa"/>
        <w:tblLayout w:type="fixed"/>
        <w:tblCellMar>
          <w:top w:w="0" w:type="dxa"/>
          <w:left w:w="0" w:type="dxa"/>
          <w:bottom w:w="0" w:type="dxa"/>
          <w:right w:w="0" w:type="dxa"/>
        </w:tblCellMar>
      </w:tblPr>
      <w:tblGrid>
        <w:gridCol w:w="2465"/>
        <w:gridCol w:w="2210"/>
        <w:gridCol w:w="2780"/>
      </w:tblGrid>
      <w:tr>
        <w:trPr/>
        <w:tc>
          <w:tcPr>
            <w:tcW w:w="24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bookmarkStart w:id="5" w:name="xdx_908_edei--EntityIncorporationStateCo"/>
            <w:bookmarkEnd w:id="5"/>
            <w:r>
              <w:rPr>
                <w:rFonts w:ascii="Times New Roman;Times;Serif" w:hAnsi="Times New Roman;Times;Serif"/>
                <w:b w:val="false"/>
                <w:i w:val="false"/>
                <w:caps w:val="false"/>
                <w:smallCaps w:val="false"/>
                <w:sz w:val="20"/>
                <w:u w:val="single"/>
              </w:rPr>
              <w:t>Delaware</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bookmarkStart w:id="6" w:name="xdx_90E_edei--EntityFileNumber_c20260715"/>
            <w:bookmarkEnd w:id="6"/>
            <w:r>
              <w:rPr>
                <w:rFonts w:ascii="Times New Roman;Times;Serif" w:hAnsi="Times New Roman;Times;Serif"/>
                <w:b w:val="false"/>
                <w:i w:val="false"/>
                <w:caps w:val="false"/>
                <w:smallCaps w:val="false"/>
                <w:sz w:val="20"/>
                <w:u w:val="single"/>
              </w:rPr>
              <w:t>001-32433</w:t>
            </w:r>
          </w:p>
        </w:tc>
        <w:tc>
          <w:tcPr>
            <w:tcW w:w="2780" w:type="dxa"/>
            <w:tcBorders/>
            <w:vAlign w:val="center"/>
          </w:tcPr>
          <w:p>
            <w:pPr>
              <w:pStyle w:val="TableContents"/>
              <w:bidi w:val="0"/>
              <w:spacing w:before="0" w:after="283"/>
              <w:jc w:val="center"/>
              <w:rPr>
                <w:rFonts w:ascii="Times New Roman;Times;Serif" w:hAnsi="Times New Roman;Times;Serif"/>
                <w:sz w:val="20"/>
                <w:u w:val="single"/>
              </w:rPr>
            </w:pPr>
            <w:bookmarkStart w:id="7" w:name="xdx_906_edei--EntityTaxIdentificationNum"/>
            <w:bookmarkEnd w:id="7"/>
            <w:r>
              <w:rPr>
                <w:rFonts w:ascii="Times New Roman;Times;Serif" w:hAnsi="Times New Roman;Times;Serif"/>
                <w:sz w:val="20"/>
                <w:u w:val="single"/>
              </w:rPr>
              <w:t>20-1297589</w:t>
            </w:r>
          </w:p>
        </w:tc>
      </w:tr>
      <w:tr>
        <w:trPr/>
        <w:tc>
          <w:tcPr>
            <w:tcW w:w="2465" w:type="dxa"/>
            <w:tcBorders/>
            <w:vAlign w:val="center"/>
          </w:tcPr>
          <w:p>
            <w:pPr>
              <w:pStyle w:val="TableContents"/>
              <w:bidi w:val="0"/>
              <w:spacing w:before="0" w:after="283"/>
              <w:jc w:val="center"/>
              <w:rPr>
                <w:sz w:val="20"/>
              </w:rPr>
            </w:pPr>
            <w:r>
              <w:rPr>
                <w:sz w:val="20"/>
              </w:rPr>
              <w:t xml:space="preserve">(State or Other Jurisdiction of </w:t>
              <w:br/>
              <w:t>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8" w:name="xdx_90D_edei--EntityAddressAddressLine1_"/>
      <w:bookmarkEnd w:id="8"/>
      <w:r>
        <w:rPr>
          <w:rFonts w:ascii="Times New Roman;Times;Serif" w:hAnsi="Times New Roman;Times;Serif"/>
          <w:b w:val="false"/>
          <w:i w:val="false"/>
          <w:caps w:val="false"/>
          <w:smallCaps w:val="false"/>
          <w:sz w:val="20"/>
          <w:u w:val="single"/>
        </w:rPr>
        <w:t xml:space="preserve">660 White Plains Road, </w:t>
      </w:r>
      <w:bookmarkStart w:id="9" w:name="xdx_908_edei--EntityAddressCityOrTown_c2"/>
      <w:bookmarkEnd w:id="9"/>
      <w:r>
        <w:rPr>
          <w:rFonts w:ascii="Times New Roman;Times;Serif" w:hAnsi="Times New Roman;Times;Serif"/>
          <w:b w:val="false"/>
          <w:i w:val="false"/>
          <w:caps w:val="false"/>
          <w:smallCaps w:val="false"/>
          <w:sz w:val="20"/>
          <w:u w:val="single"/>
        </w:rPr>
        <w:t xml:space="preserve">Tarrytown, </w:t>
      </w:r>
      <w:bookmarkStart w:id="10" w:name="xdx_90F_edei--EntityAddressStateOrProvin"/>
      <w:bookmarkEnd w:id="10"/>
      <w:r>
        <w:rPr>
          <w:rFonts w:ascii="Times New Roman;Times;Serif" w:hAnsi="Times New Roman;Times;Serif"/>
          <w:b w:val="false"/>
          <w:i w:val="false"/>
          <w:caps w:val="false"/>
          <w:smallCaps w:val="false"/>
          <w:sz w:val="20"/>
          <w:u w:val="single"/>
        </w:rPr>
        <w:t xml:space="preserve">New York </w:t>
      </w:r>
      <w:bookmarkStart w:id="11" w:name="xdx_907_edei--EntityAddressPostalZipCode"/>
      <w:bookmarkEnd w:id="11"/>
      <w:r>
        <w:rPr>
          <w:rFonts w:ascii="Times New Roman;Times;Serif" w:hAnsi="Times New Roman;Times;Serif"/>
          <w:b w:val="false"/>
          <w:i w:val="false"/>
          <w:caps w:val="false"/>
          <w:smallCaps w:val="false"/>
          <w:sz w:val="20"/>
          <w:u w:val="single"/>
        </w:rPr>
        <w:t>10591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t>
      </w:r>
      <w:bookmarkStart w:id="12" w:name="xdx_90B_edei--CityAreaCode_c20260715__20"/>
      <w:bookmarkEnd w:id="12"/>
      <w:r>
        <w:rPr>
          <w:rFonts w:ascii="Times New Roman;Times;Serif" w:hAnsi="Times New Roman;Times;Serif"/>
          <w:b w:val="false"/>
          <w:i w:val="false"/>
          <w:caps w:val="false"/>
          <w:smallCaps w:val="false"/>
          <w:sz w:val="20"/>
          <w:u w:val="single"/>
        </w:rPr>
        <w:t xml:space="preserve">914) </w:t>
      </w:r>
      <w:bookmarkStart w:id="13" w:name="xdx_900_edei--LocalPhoneNumber_c20260715"/>
      <w:bookmarkEnd w:id="13"/>
      <w:r>
        <w:rPr>
          <w:rFonts w:ascii="Times New Roman;Times;Serif" w:hAnsi="Times New Roman;Times;Serif"/>
          <w:b w:val="false"/>
          <w:i w:val="false"/>
          <w:caps w:val="false"/>
          <w:smallCaps w:val="false"/>
          <w:sz w:val="20"/>
          <w:u w:val="single"/>
        </w:rPr>
        <w:t>524-6800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4" w:name="xdx_908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3_edei--SolicitingMaterial_c202607"/>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1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7" w:name="xdx_90F_edei--PreCommencementIssuerTende"/>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390" w:type="dxa"/>
        <w:jc w:val="left"/>
        <w:tblInd w:w="0" w:type="dxa"/>
        <w:tblLayout w:type="fixed"/>
        <w:tblCellMar>
          <w:top w:w="0" w:type="dxa"/>
          <w:left w:w="0" w:type="dxa"/>
          <w:bottom w:w="0" w:type="dxa"/>
          <w:right w:w="0" w:type="dxa"/>
        </w:tblCellMar>
      </w:tblPr>
      <w:tblGrid>
        <w:gridCol w:w="4265"/>
        <w:gridCol w:w="1535"/>
        <w:gridCol w:w="3590"/>
      </w:tblGrid>
      <w:tr>
        <w:trPr/>
        <w:tc>
          <w:tcPr>
            <w:tcW w:w="42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3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265" w:type="dxa"/>
            <w:tcBorders/>
            <w:vAlign w:val="center"/>
          </w:tcPr>
          <w:p>
            <w:pPr>
              <w:pStyle w:val="TableContents"/>
              <w:bidi w:val="0"/>
              <w:spacing w:before="0" w:after="283"/>
              <w:jc w:val="center"/>
              <w:rPr>
                <w:b/>
              </w:rPr>
            </w:pPr>
            <w:bookmarkStart w:id="18" w:name="xdx_905_edei--Security12bTitle_c20260715"/>
            <w:bookmarkEnd w:id="18"/>
            <w:r>
              <w:rPr>
                <w:b/>
              </w:rPr>
              <w:t>Common stock, par value $0.01 per share</w:t>
            </w:r>
          </w:p>
        </w:tc>
        <w:tc>
          <w:tcPr>
            <w:tcW w:w="1535" w:type="dxa"/>
            <w:tcBorders/>
            <w:vAlign w:val="center"/>
          </w:tcPr>
          <w:p>
            <w:pPr>
              <w:pStyle w:val="TableContents"/>
              <w:bidi w:val="0"/>
              <w:spacing w:before="0" w:after="283"/>
              <w:jc w:val="center"/>
              <w:rPr>
                <w:b/>
              </w:rPr>
            </w:pPr>
            <w:bookmarkStart w:id="19" w:name="xdx_903_edei--TradingSymbol_c20260715__2"/>
            <w:bookmarkEnd w:id="19"/>
            <w:r>
              <w:rPr>
                <w:b/>
              </w:rPr>
              <w:t>PBH</w:t>
            </w:r>
          </w:p>
        </w:tc>
        <w:tc>
          <w:tcPr>
            <w:tcW w:w="3590" w:type="dxa"/>
            <w:tcBorders/>
            <w:vAlign w:val="center"/>
          </w:tcPr>
          <w:p>
            <w:pPr>
              <w:pStyle w:val="TableContents"/>
              <w:bidi w:val="0"/>
              <w:spacing w:before="0" w:after="283"/>
              <w:jc w:val="center"/>
              <w:rPr>
                <w:b/>
              </w:rPr>
            </w:pPr>
            <w:bookmarkStart w:id="20" w:name="xdx_90B_edei--SecurityExchangeName_c2026"/>
            <w:bookmarkEnd w:id="20"/>
            <w:r>
              <w:rPr>
                <w:b/>
              </w:rPr>
              <w:t>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0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Prestige Brands, Inc. (“Prestige Brands”), a wholly owned subsidiary of Prestige Consumer Healthcare Inc. (the “Company”), issued $400.0 million aggregate principal amount of 6.250% senior notes due 2034 (the “2026 Notes” or “notes”) pursuant to an Indenture, dated July 15, 2026 (the “Indenture”), among Prestige Brands, the guarantors party thereto (including the Company) and U.S. Bank Trust Company, National Association, as trustee. The Indenture provides, among other things, that interest will be payable on the notes on January 15 and July 15 of each year, beginning on January 15, 2027, until their maturity date of July 15, 2034. The notes are senior unsecured obligations of Prestige Brands and are guaranteed on an unsecured senior basis by the Company and certain of its existing and future domestic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Prestige Brands has the option to redeem all or a portion of the notes at any time on or after July 15, 2029 at the redemption prices set forth in the Indenture, plus accrued and unpaid interest, if any. Prestige Brands may also redeem all or any portion of the notes at any time prior to July 15, 2029, at a price equal to 100% of the aggregate principal amount thereof plus a make-whole premium and accrued and unpaid interest, if any. In addition, before July 15, 2029, Prestige Brands may redeem up to 40% of the aggregate principal amount of the notes with the net proceeds of certain equity offerings at the redemption price set forth in the Indenture, provided that certain conditions are met. Subject to certain limitations, in the event of a Change of Control (as defined in the Indenture), Prestige Brands will be required to make an offer to purchase the notes at a price equal to 101% of the aggregate principal amount of the notes repurchased, plus accrued and unpaid interest, if any, to the date of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covenants that, among other things, restrict the ability of the Company and the ability of certain of its subsidiaries to incur, assume or guarantee additional indebtedness; pay dividends or redeem or repurchase capital stock; make other restricted payments; incur liens; redeem debt that is junior in right of payment to the notes; sell or otherwise dispose of assets, including capital stock of subsidiaries; enter into mergers or consolidations; and enter into transactions with affiliates. These covenants are subject to a number of important exceptions and 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for customary events of default, which include (subject in certain cases to customary grace and cure periods), among others, nonpayment of principal or interest; breach of other agreements in the Indenture; defaults in failure to pay certain other indebtedness; the rendering of judgments to pay certain amounts of money against the Company and certain of its subsidiaries; the failure of certain guarantees to be enforceable; and certain events of bankruptcy or insolvency.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issued in a private offering that is exempt from the registration requirements of the Securities Act of 1933, as amended (the “Securities Act”), to qualified institutional buyers in accordance with Rule 144A and to persons outside of the United States pursuant to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foregoing summary does not purport to be complete and is qualified in its entirety by reference to the complete terms of the Indenture, a copy of which is filed as Exhibit 4.1 hereto, and the 2026 Notes, a form of which is filed as Exhibit 4.2 hereto, both of which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 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is incorporated by reference into this Item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0"/>
        <w:gridCol w:w="60"/>
        <w:gridCol w:w="9495"/>
      </w:tblGrid>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w:t>
            </w:r>
          </w:p>
        </w:tc>
        <w:tc>
          <w:tcPr>
            <w:tcW w:w="60" w:type="dxa"/>
            <w:tcBorders>
              <w:bottom w:val="single" w:sz="8" w:space="0" w:color="FFFFFF"/>
            </w:tcBorders>
            <w:vAlign w:val="center"/>
          </w:tcPr>
          <w:p>
            <w:pPr>
              <w:pStyle w:val="TableContents"/>
              <w:bidi w:val="0"/>
              <w:spacing w:before="0" w:after="283"/>
              <w:jc w:val="left"/>
              <w:rPr/>
            </w:pPr>
            <w:r>
              <w:rPr/>
              <w:t> </w:t>
            </w:r>
          </w:p>
        </w:tc>
        <w:tc>
          <w:tcPr>
            <w:tcW w:w="94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pPr>
            <w:r>
              <w:rPr/>
              <w:t> </w:t>
            </w:r>
          </w:p>
        </w:tc>
      </w:tr>
      <w:tr>
        <w:trPr/>
        <w:tc>
          <w:tcPr>
            <w:tcW w:w="650" w:type="dxa"/>
            <w:tcBorders>
              <w:bottom w:val="double" w:sz="6" w:space="0" w:color="FFFFFF"/>
            </w:tcBorders>
            <w:vAlign w:val="center"/>
          </w:tcPr>
          <w:p>
            <w:pPr>
              <w:pStyle w:val="TableContents"/>
              <w:bidi w:val="0"/>
              <w:spacing w:before="0" w:after="283"/>
              <w:jc w:val="left"/>
              <w:rPr/>
            </w:pPr>
            <w:hyperlink w:anchor="tm2620415d1_ex4-1.htm">
              <w:r>
                <w:rPr>
                  <w:rStyle w:val="InternetLink"/>
                  <w:rFonts w:ascii="Times New Roman;Times;Serif" w:hAnsi="Times New Roman;Times;Serif"/>
                  <w:sz w:val="20"/>
                </w:rPr>
                <w:t>4.1</w:t>
              </w:r>
            </w:hyperlink>
          </w:p>
        </w:tc>
        <w:tc>
          <w:tcPr>
            <w:tcW w:w="60" w:type="dxa"/>
            <w:tcBorders>
              <w:bottom w:val="double" w:sz="6" w:space="0" w:color="FFFFFF"/>
            </w:tcBorders>
            <w:vAlign w:val="center"/>
          </w:tcPr>
          <w:p>
            <w:pPr>
              <w:pStyle w:val="TableContents"/>
              <w:bidi w:val="0"/>
              <w:spacing w:before="0" w:after="283"/>
              <w:jc w:val="left"/>
              <w:rPr/>
            </w:pPr>
            <w:r>
              <w:rPr/>
              <w:t> </w:t>
            </w:r>
          </w:p>
        </w:tc>
        <w:tc>
          <w:tcPr>
            <w:tcW w:w="9495" w:type="dxa"/>
            <w:tcBorders>
              <w:bottom w:val="double" w:sz="6" w:space="0" w:color="FFFFFF"/>
            </w:tcBorders>
            <w:vAlign w:val="center"/>
          </w:tcPr>
          <w:p>
            <w:pPr>
              <w:pStyle w:val="TableContents"/>
              <w:bidi w:val="0"/>
              <w:spacing w:before="0" w:after="283"/>
              <w:jc w:val="both"/>
              <w:rPr/>
            </w:pPr>
            <w:hyperlink w:anchor="tm2620415d1_ex4-1.htm">
              <w:r>
                <w:rPr>
                  <w:rStyle w:val="InternetLink"/>
                  <w:rFonts w:ascii="Times New Roman;Times;Serif" w:hAnsi="Times New Roman;Times;Serif"/>
                  <w:sz w:val="20"/>
                </w:rPr>
                <w:t xml:space="preserve">Indenture, dated July 15, 2026, among Prestige Brands, Inc., the guarantors party thereto and U.S. Bank Trust Company, National Association, as trustee. </w:t>
              </w:r>
            </w:hyperlink>
          </w:p>
        </w:tc>
      </w:tr>
      <w:tr>
        <w:trPr/>
        <w:tc>
          <w:tcPr>
            <w:tcW w:w="650" w:type="dxa"/>
            <w:tcBorders>
              <w:bottom w:val="double" w:sz="6" w:space="0" w:color="FFFFFF"/>
            </w:tcBorders>
            <w:vAlign w:val="center"/>
          </w:tcPr>
          <w:p>
            <w:pPr>
              <w:pStyle w:val="TableContents"/>
              <w:bidi w:val="0"/>
              <w:spacing w:before="0" w:after="283"/>
              <w:jc w:val="left"/>
              <w:rPr/>
            </w:pPr>
            <w:hyperlink w:anchor="tm2620415d1_ex4-1.htm">
              <w:r>
                <w:rPr>
                  <w:rStyle w:val="InternetLink"/>
                  <w:rFonts w:ascii="Times New Roman;Times;Serif" w:hAnsi="Times New Roman;Times;Serif"/>
                  <w:sz w:val="20"/>
                </w:rPr>
                <w:t>4.2</w:t>
              </w:r>
            </w:hyperlink>
          </w:p>
        </w:tc>
        <w:tc>
          <w:tcPr>
            <w:tcW w:w="60" w:type="dxa"/>
            <w:tcBorders>
              <w:bottom w:val="double" w:sz="6" w:space="0" w:color="FFFFFF"/>
            </w:tcBorders>
            <w:vAlign w:val="center"/>
          </w:tcPr>
          <w:p>
            <w:pPr>
              <w:pStyle w:val="TableContents"/>
              <w:bidi w:val="0"/>
              <w:spacing w:before="0" w:after="283"/>
              <w:jc w:val="left"/>
              <w:rPr/>
            </w:pPr>
            <w:r>
              <w:rPr/>
              <w:t> </w:t>
            </w:r>
          </w:p>
        </w:tc>
        <w:tc>
          <w:tcPr>
            <w:tcW w:w="9495" w:type="dxa"/>
            <w:tcBorders>
              <w:bottom w:val="double" w:sz="6" w:space="0" w:color="FFFFFF"/>
            </w:tcBorders>
            <w:vAlign w:val="center"/>
          </w:tcPr>
          <w:p>
            <w:pPr>
              <w:pStyle w:val="TableContents"/>
              <w:bidi w:val="0"/>
              <w:spacing w:before="0" w:after="283"/>
              <w:jc w:val="left"/>
              <w:rPr/>
            </w:pPr>
            <w:hyperlink w:anchor="tm2620415d1_ex4-1.htm">
              <w:r>
                <w:rPr>
                  <w:rStyle w:val="InternetLink"/>
                  <w:rFonts w:ascii="Times New Roman;Times;Serif" w:hAnsi="Times New Roman;Times;Serif"/>
                  <w:sz w:val="20"/>
                </w:rPr>
                <w:t>Form of 2026 Note (included in Exhibit 4.1).</w:t>
              </w:r>
            </w:hyperlink>
          </w:p>
        </w:tc>
      </w:tr>
      <w:tr>
        <w:trPr/>
        <w:tc>
          <w:tcPr>
            <w:tcW w:w="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605" w:type="dxa"/>
        <w:jc w:val="left"/>
        <w:tblInd w:w="0" w:type="dxa"/>
        <w:tblLayout w:type="fixed"/>
        <w:tblCellMar>
          <w:top w:w="0" w:type="dxa"/>
          <w:left w:w="0" w:type="dxa"/>
          <w:bottom w:w="0" w:type="dxa"/>
          <w:right w:w="0" w:type="dxa"/>
        </w:tblCellMar>
      </w:tblPr>
      <w:tblGrid>
        <w:gridCol w:w="620"/>
        <w:gridCol w:w="1130"/>
        <w:gridCol w:w="320"/>
        <w:gridCol w:w="4535"/>
      </w:tblGrid>
      <w:tr>
        <w:trPr/>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Dated: </w:t>
            </w:r>
          </w:p>
        </w:tc>
        <w:tc>
          <w:tcPr>
            <w:tcW w:w="1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15, 2026</w:t>
            </w:r>
          </w:p>
        </w:tc>
        <w:tc>
          <w:tcPr>
            <w:tcW w:w="48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PRESTIGE CONSUMER HEALTHCARE INC.</w:t>
            </w:r>
          </w:p>
        </w:tc>
      </w:tr>
      <w:tr>
        <w:trPr/>
        <w:tc>
          <w:tcPr>
            <w:tcW w:w="6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 </w:t>
            </w:r>
          </w:p>
        </w:tc>
      </w:tr>
      <w:tr>
        <w:trPr/>
        <w:tc>
          <w:tcPr>
            <w:tcW w:w="620" w:type="dxa"/>
            <w:tcBorders>
              <w:bottom w:val="single" w:sz="18" w:space="0" w:color="FFFFFF"/>
            </w:tcBorders>
            <w:tcMar>
              <w:bottom w:w="28" w:type="dxa"/>
            </w:tcMar>
            <w:vAlign w:val="center"/>
          </w:tcPr>
          <w:p>
            <w:pPr>
              <w:pStyle w:val="TableContents"/>
              <w:bidi w:val="0"/>
              <w:spacing w:before="0" w:after="283"/>
              <w:jc w:val="left"/>
              <w:rPr/>
            </w:pPr>
            <w:r>
              <w:rPr/>
              <w:t> </w:t>
            </w:r>
          </w:p>
        </w:tc>
        <w:tc>
          <w:tcPr>
            <w:tcW w:w="1130" w:type="dxa"/>
            <w:tcBorders>
              <w:bottom w:val="single" w:sz="18" w:space="0" w:color="FFFFFF"/>
            </w:tcBorders>
            <w:tcMar>
              <w:bottom w:w="28" w:type="dxa"/>
            </w:tcMar>
            <w:vAlign w:val="center"/>
          </w:tcPr>
          <w:p>
            <w:pPr>
              <w:pStyle w:val="TableContents"/>
              <w:bidi w:val="0"/>
              <w:spacing w:before="0" w:after="283"/>
              <w:jc w:val="left"/>
              <w:rPr/>
            </w:pPr>
            <w:r>
              <w:rPr/>
              <w:t> </w:t>
            </w:r>
          </w:p>
        </w:tc>
        <w:tc>
          <w:tcPr>
            <w:tcW w:w="320" w:type="dxa"/>
            <w:tcBorders>
              <w:bottom w:val="single" w:sz="18" w:space="0" w:color="FFFFFF"/>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Christine Sacco</w:t>
            </w:r>
          </w:p>
        </w:tc>
      </w:tr>
      <w:tr>
        <w:trPr/>
        <w:tc>
          <w:tcPr>
            <w:tcW w:w="6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Christine Sacco</w:t>
            </w:r>
          </w:p>
        </w:tc>
      </w:tr>
      <w:tr>
        <w:trPr/>
        <w:tc>
          <w:tcPr>
            <w:tcW w:w="6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Financial Officer &amp; Chief Operating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jc w:val="left"/>
        <w:rPr/>
      </w:pPr>
      <w:bookmarkStart w:id="22" w:name="tm2620415d1_ex4-1.htm"/>
      <w:bookmarkStart w:id="23" w:name="kstm2620415d1_ex41"/>
      <w:bookmarkEnd w:id="22"/>
      <w:bookmarkEnd w:id="23"/>
      <w:r>
        <w:rPr/>
        <w:t> </w:t>
      </w:r>
      <w:r>
        <w:br w:type="page"/>
      </w:r>
    </w:p>
    <w:p>
      <w:pPr>
        <w:pStyle w:val="TextBody"/>
        <w:bidi w:val="0"/>
        <w:jc w:val="right"/>
        <w:rPr>
          <w:b/>
        </w:rPr>
      </w:pPr>
      <w:r>
        <w:rPr>
          <w:b/>
        </w:rPr>
        <w:t>Exhibit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PRESTIGE BRANDS, INC., as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Guarantors from time to time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 SENIOR NOTES DUE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w:t>
        <w:br/>
        <w:t>definitions and incorporation by reference</w:t>
      </w:r>
    </w:p>
    <w:p>
      <w:pPr>
        <w:pStyle w:val="TextBody"/>
        <w:bidi w:val="0"/>
        <w:spacing w:before="0" w:after="0"/>
        <w:ind w:left="0" w:right="0" w:hanging="0"/>
        <w:jc w:val="left"/>
        <w:rPr>
          <w:caps w:val="false"/>
          <w:smallCaps w:val="false"/>
        </w:rPr>
      </w:pPr>
      <w:r>
        <w:rPr>
          <w:caps w:val="false"/>
          <w:smallCaps w:val="false"/>
        </w:rPr>
        <w:t> </w:t>
      </w:r>
    </w:p>
    <w:tbl>
      <w:tblPr>
        <w:tblW w:w="7515" w:type="dxa"/>
        <w:jc w:val="left"/>
        <w:tblInd w:w="0" w:type="dxa"/>
        <w:tblLayout w:type="fixed"/>
        <w:tblCellMar>
          <w:top w:w="0" w:type="dxa"/>
          <w:left w:w="0" w:type="dxa"/>
          <w:bottom w:w="0" w:type="dxa"/>
          <w:right w:w="0" w:type="dxa"/>
        </w:tblCellMar>
      </w:tblPr>
      <w:tblGrid>
        <w:gridCol w:w="1100"/>
        <w:gridCol w:w="6140"/>
        <w:gridCol w:w="275"/>
      </w:tblGrid>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1.01.</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Definitions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1.02.</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Other Definitions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1.03.</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 Incorporation by Reference of Trust Indenture Act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1.04.</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Rules of Construction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1.05.</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Acts of Holders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0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51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2</w:t>
            </w:r>
          </w:p>
        </w:tc>
      </w:tr>
      <w:tr>
        <w:trPr/>
        <w:tc>
          <w:tcPr>
            <w:tcW w:w="751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the notes</w:t>
            </w:r>
          </w:p>
        </w:tc>
      </w:tr>
      <w:tr>
        <w:trPr/>
        <w:tc>
          <w:tcPr>
            <w:tcW w:w="110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2.01.</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Form and Dating; Terms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2.02.</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Execution and Authentication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2.03.</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Registrar, Transfer Agent and Paying Agent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2.04.</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Paying Agent to Hold Money in Trust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2.05.</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Holder Lists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2.06.</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Transfer and Exchange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2.07.</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Replacement Notes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2.08.</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Outstanding Notes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2.09.</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Treasury Notes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2.10.</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Temporary Notes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2.11.</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Cancellation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2.12.</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Defaulted Interest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2.13.</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CUSIP Numbers; ISINs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10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51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3</w:t>
            </w:r>
          </w:p>
        </w:tc>
      </w:tr>
      <w:tr>
        <w:trPr/>
        <w:tc>
          <w:tcPr>
            <w:tcW w:w="751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Redemption</w:t>
            </w:r>
          </w:p>
        </w:tc>
      </w:tr>
      <w:tr>
        <w:trPr/>
        <w:tc>
          <w:tcPr>
            <w:tcW w:w="110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3.01.</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Notices to Trustee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3.02.</w:t>
            </w:r>
          </w:p>
        </w:tc>
        <w:tc>
          <w:tcPr>
            <w:tcW w:w="6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Selection of Notes to Be Redeemed</w:t>
            </w:r>
            <w:r>
              <w:rPr>
                <w:rFonts w:ascii="Times New Roman;Times;Serif" w:hAnsi="Times New Roman;Times;Serif"/>
                <w:sz w:val="20"/>
              </w:rPr>
              <w: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3.03.</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Notice of Redemption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3.04.</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Effect of Notice of Redemption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3.05.</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Deposit of Redemption Price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3.06.</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Notes Redeemed in Part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3.07.</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Optional Redemption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3.08.</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Mandatory Redemption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3.09.</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Offers to Repurchase by Application of Excess Proceeds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10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51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4</w:t>
            </w:r>
          </w:p>
        </w:tc>
      </w:tr>
      <w:tr>
        <w:trPr/>
        <w:tc>
          <w:tcPr>
            <w:tcW w:w="751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Covenants</w:t>
            </w:r>
          </w:p>
        </w:tc>
      </w:tr>
      <w:tr>
        <w:trPr/>
        <w:tc>
          <w:tcPr>
            <w:tcW w:w="110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4.01.</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Payment of Notes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4.02.</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Maintenance of Office or Agency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4.03.</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Reports and Other Information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4.04.</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Compliance Certificate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4.05.</w:t>
            </w:r>
          </w:p>
        </w:tc>
        <w:tc>
          <w:tcPr>
            <w:tcW w:w="6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RESERVED</w:t>
            </w:r>
            <w:r>
              <w:rPr>
                <w:rFonts w:ascii="Times New Roman;Times;Serif" w:hAnsi="Times New Roman;Times;Serif"/>
                <w:sz w:val="20"/>
              </w:rPr>
              <w: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4.06.</w:t>
            </w:r>
          </w:p>
        </w:tc>
        <w:tc>
          <w:tcPr>
            <w:tcW w:w="6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RESERVED</w:t>
            </w:r>
            <w:r>
              <w:rPr>
                <w:rFonts w:ascii="Times New Roman;Times;Serif" w:hAnsi="Times New Roman;Times;Serif"/>
                <w:sz w:val="20"/>
              </w:rPr>
              <w: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4.07.</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Limitation on Restricted Payments</w:t>
            </w:r>
          </w:p>
        </w:tc>
        <w:tc>
          <w:tcPr>
            <w:tcW w:w="275" w:type="dxa"/>
            <w:tcBorders/>
            <w:vAlign w:val="center"/>
          </w:tcPr>
          <w:p>
            <w:pPr>
              <w:pStyle w:val="TableContents"/>
              <w:bidi w:val="0"/>
              <w:spacing w:before="0" w:after="283"/>
              <w:jc w:val="right"/>
              <w:rPr/>
            </w:pPr>
            <w:r>
              <w:rPr/>
              <w:t>60</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4.08.</w:t>
            </w:r>
          </w:p>
        </w:tc>
        <w:tc>
          <w:tcPr>
            <w:tcW w:w="6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Dividend and Other Payment Restrictions Affecting Restricted Subsidiaries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u w:val="single"/>
        </w:rPr>
      </w:pPr>
      <w:r>
        <w:rPr>
          <w:u w:val="single"/>
        </w:rPr>
        <w:t>Page</w:t>
      </w:r>
    </w:p>
    <w:p>
      <w:pPr>
        <w:pStyle w:val="TextBody"/>
        <w:bidi w:val="0"/>
        <w:spacing w:before="0" w:after="283"/>
        <w:jc w:val="left"/>
        <w:rPr/>
      </w:pPr>
      <w:r>
        <w:rPr/>
        <w:t> </w:t>
      </w:r>
    </w:p>
    <w:tbl>
      <w:tblPr>
        <w:tblW w:w="9285" w:type="dxa"/>
        <w:jc w:val="left"/>
        <w:tblInd w:w="0" w:type="dxa"/>
        <w:tblLayout w:type="fixed"/>
        <w:tblCellMar>
          <w:top w:w="0" w:type="dxa"/>
          <w:left w:w="0" w:type="dxa"/>
          <w:bottom w:w="0" w:type="dxa"/>
          <w:right w:w="0" w:type="dxa"/>
        </w:tblCellMar>
      </w:tblPr>
      <w:tblGrid>
        <w:gridCol w:w="1100"/>
        <w:gridCol w:w="7940"/>
        <w:gridCol w:w="245"/>
      </w:tblGrid>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4.09.</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Limitation on Incurrence of Indebtedness and Issuance of Disqualified Stock and Preferred Stock</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4.10.</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Asset Sales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4.11.</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Transactions with Affiliates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4.12.</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Liens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4.13.</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Existence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4.14.</w:t>
            </w:r>
          </w:p>
        </w:tc>
        <w:tc>
          <w:tcPr>
            <w:tcW w:w="7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Offer to Repurchase Upon Change of Control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4.15.</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Limitation on Guarantees of Indebtedness by Restricted Subsidiaries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4.16.</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Suspension of Covenants on Achievement of Investment Grade Status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r>
      <w:tr>
        <w:trPr/>
        <w:tc>
          <w:tcPr>
            <w:tcW w:w="110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28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5</w:t>
            </w:r>
          </w:p>
        </w:tc>
      </w:tr>
      <w:tr>
        <w:trPr/>
        <w:tc>
          <w:tcPr>
            <w:tcW w:w="928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Successors</w:t>
            </w:r>
          </w:p>
        </w:tc>
      </w:tr>
      <w:tr>
        <w:trPr/>
        <w:tc>
          <w:tcPr>
            <w:tcW w:w="110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5.01.</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Merger, Consolidation or Sale of All or Substantially All Assets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5.02.</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Successor Person Substituted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110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28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6</w:t>
            </w:r>
          </w:p>
        </w:tc>
      </w:tr>
      <w:tr>
        <w:trPr/>
        <w:tc>
          <w:tcPr>
            <w:tcW w:w="928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Defaults and Remedies</w:t>
            </w:r>
          </w:p>
        </w:tc>
      </w:tr>
      <w:tr>
        <w:trPr/>
        <w:tc>
          <w:tcPr>
            <w:tcW w:w="110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6.01.</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6.02.</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Acceleration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6.03.</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Other 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6.04.</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Waiver of Past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6.05.</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Control by Majority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6.06.</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Limitation on Suits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6.07.</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Rights of Holders to Receive Payment.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6.08.</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Collection Suit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6.09.</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Restoration of Rights and 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6.10.</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Rights and Remedies Cumulative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6.11.</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Delay or Omission Not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6.12.</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Trustee May File Proofs of Claim</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6.13.</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Priorities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6.14.</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Undertaking for Costs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10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28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7</w:t>
            </w:r>
          </w:p>
        </w:tc>
      </w:tr>
      <w:tr>
        <w:trPr/>
        <w:tc>
          <w:tcPr>
            <w:tcW w:w="928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Trustee</w:t>
            </w:r>
          </w:p>
        </w:tc>
      </w:tr>
      <w:tr>
        <w:trPr/>
        <w:tc>
          <w:tcPr>
            <w:tcW w:w="110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7.01.</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Duties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7.02.</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Rights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7.03.</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Individual Rights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7.04.</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Trustee’s Disclaimer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7.05.</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Notice of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7.06.</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RESERVED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7.07.</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Compensation and Indemnity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7.08.</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Replacement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7.09.</w:t>
            </w:r>
          </w:p>
        </w:tc>
        <w:tc>
          <w:tcPr>
            <w:tcW w:w="7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Successor Trustee by Merger, etc</w:t>
            </w:r>
            <w:r>
              <w:rPr>
                <w:rFonts w:ascii="Times New Roman;Times;Serif" w:hAnsi="Times New Roman;Times;Serif"/>
                <w:sz w:val="20"/>
              </w:rPr>
              <w: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7.10.</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Eligibility; Disqualification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110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28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8</w:t>
            </w:r>
          </w:p>
        </w:tc>
      </w:tr>
      <w:tr>
        <w:trPr/>
        <w:tc>
          <w:tcPr>
            <w:tcW w:w="928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Legal Defeasance and Covenant Defeasance</w:t>
            </w:r>
          </w:p>
        </w:tc>
      </w:tr>
      <w:tr>
        <w:trPr/>
        <w:tc>
          <w:tcPr>
            <w:tcW w:w="110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8.01.</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Option to Effect Legal Defeasance or Covenant Defeasance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8.02.</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Legal Defeasance and Discharge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8.03.</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Covenant Defeasance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r>
      <w:tr>
        <w:trPr/>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8.04.</w:t>
            </w:r>
          </w:p>
        </w:tc>
        <w:tc>
          <w:tcPr>
            <w:tcW w:w="7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Conditions to Legal or Covenant Defeasance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u w:val="single"/>
        </w:rPr>
      </w:pPr>
      <w:r>
        <w:rPr>
          <w:u w:val="single"/>
        </w:rPr>
        <w:t>Page</w:t>
      </w:r>
    </w:p>
    <w:p>
      <w:pPr>
        <w:pStyle w:val="TextBody"/>
        <w:bidi w:val="0"/>
        <w:spacing w:before="0" w:after="283"/>
        <w:jc w:val="left"/>
        <w:rPr/>
      </w:pPr>
      <w:r>
        <w:rPr/>
        <w:t> </w:t>
      </w:r>
    </w:p>
    <w:tbl>
      <w:tblPr>
        <w:tblW w:w="9945" w:type="dxa"/>
        <w:jc w:val="left"/>
        <w:tblInd w:w="0" w:type="dxa"/>
        <w:tblLayout w:type="fixed"/>
        <w:tblCellMar>
          <w:top w:w="0" w:type="dxa"/>
          <w:left w:w="0" w:type="dxa"/>
          <w:bottom w:w="0" w:type="dxa"/>
          <w:right w:w="0" w:type="dxa"/>
        </w:tblCellMar>
      </w:tblPr>
      <w:tblGrid>
        <w:gridCol w:w="1205"/>
        <w:gridCol w:w="8345"/>
        <w:gridCol w:w="395"/>
      </w:tblGrid>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8.05.</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Deposited Money and U.S. Government Securities to be Held in Trust; Other Miscellaneous Provisions</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8.06.</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Repayment to Issuer</w:t>
            </w:r>
          </w:p>
        </w:tc>
        <w:tc>
          <w:tcPr>
            <w:tcW w:w="395" w:type="dxa"/>
            <w:tcBorders/>
            <w:vAlign w:val="center"/>
          </w:tcPr>
          <w:p>
            <w:pPr>
              <w:pStyle w:val="TableContents"/>
              <w:bidi w:val="0"/>
              <w:spacing w:before="0" w:after="283"/>
              <w:jc w:val="right"/>
              <w:rPr/>
            </w:pPr>
            <w:r>
              <w:rPr/>
              <w:t>100</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8.07.</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Reinstatement</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1205"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994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9</w:t>
            </w:r>
          </w:p>
        </w:tc>
      </w:tr>
      <w:tr>
        <w:trPr/>
        <w:tc>
          <w:tcPr>
            <w:tcW w:w="994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Amendment, Supplement and Waiver</w:t>
            </w:r>
          </w:p>
        </w:tc>
      </w:tr>
      <w:tr>
        <w:trPr/>
        <w:tc>
          <w:tcPr>
            <w:tcW w:w="1205"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9.01.</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Without Consent of Holders</w:t>
            </w:r>
          </w:p>
        </w:tc>
        <w:tc>
          <w:tcPr>
            <w:tcW w:w="395" w:type="dxa"/>
            <w:tcBorders/>
            <w:vAlign w:val="center"/>
          </w:tcPr>
          <w:p>
            <w:pPr>
              <w:pStyle w:val="TableContents"/>
              <w:bidi w:val="0"/>
              <w:spacing w:before="0" w:after="283"/>
              <w:jc w:val="right"/>
              <w:rPr/>
            </w:pPr>
            <w:r>
              <w:rPr/>
              <w:t>100</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9.02.</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With Consent of Holders</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9.03.</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RESERVED</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9.04.</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Revocation and Effect of Consents</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9.05.</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Notation on or Exchange of Notes</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9.06.</w:t>
            </w:r>
          </w:p>
        </w:tc>
        <w:tc>
          <w:tcPr>
            <w:tcW w:w="8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Trustee to Sign Amendments, etc</w:t>
            </w:r>
            <w:r>
              <w:rPr>
                <w:rFonts w:ascii="Times New Roman;Times;Serif" w:hAnsi="Times New Roman;Times;Serif"/>
                <w:sz w:val="20"/>
              </w:rPr>
              <w:t>.</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9.07.</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Payment for Consent</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r>
      <w:tr>
        <w:trPr/>
        <w:tc>
          <w:tcPr>
            <w:tcW w:w="1205"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994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10</w:t>
            </w:r>
          </w:p>
        </w:tc>
      </w:tr>
      <w:tr>
        <w:trPr/>
        <w:tc>
          <w:tcPr>
            <w:tcW w:w="994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Guarantees</w:t>
            </w:r>
          </w:p>
        </w:tc>
      </w:tr>
      <w:tr>
        <w:trPr/>
        <w:tc>
          <w:tcPr>
            <w:tcW w:w="1205"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10.01.</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Guarantee</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10.02.</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Limitation on Guarantor Liability</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10.03.</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Execution and Delivery</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10.04.</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Subrogation</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10.05.</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Benefits Acknowledged</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10.06.</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Release of Guarantees</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r>
      <w:tr>
        <w:trPr/>
        <w:tc>
          <w:tcPr>
            <w:tcW w:w="1205"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994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11</w:t>
            </w:r>
          </w:p>
        </w:tc>
      </w:tr>
      <w:tr>
        <w:trPr/>
        <w:tc>
          <w:tcPr>
            <w:tcW w:w="994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Satisfaction and Discharge</w:t>
            </w:r>
          </w:p>
        </w:tc>
      </w:tr>
      <w:tr>
        <w:trPr/>
        <w:tc>
          <w:tcPr>
            <w:tcW w:w="1205"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11.01.</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Satisfaction and Discharge</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11.02.</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Application of Trust Money</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r>
        <w:trPr/>
        <w:tc>
          <w:tcPr>
            <w:tcW w:w="1205"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994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12</w:t>
            </w:r>
          </w:p>
        </w:tc>
      </w:tr>
      <w:tr>
        <w:trPr/>
        <w:tc>
          <w:tcPr>
            <w:tcW w:w="9945"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Miscellaneous</w:t>
            </w:r>
          </w:p>
        </w:tc>
      </w:tr>
      <w:tr>
        <w:trPr/>
        <w:tc>
          <w:tcPr>
            <w:tcW w:w="1205"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12.01.</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RESERVED</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12.02.</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Notices</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12.03.</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RESERVED</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12.04.</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Certificate and Opinion as to Conditions Precedent</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12.05.</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Statements Required in Certificate or Opinion</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12.06.</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Rules by Trustee and Agents</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12.07.</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 Personal Liability of Directors, Officers, Employees and Stockholders</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12.08.</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Governing Law</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12.09.</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Jurisdiction</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12.10.</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Waiver of Jury Trial</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12.11.</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Force Majeure</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12.12.</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 Adverse Interpretation of Other Agreements</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12.13.</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Successors</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12.14.</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Severability</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12.15.</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Counterpart Originals</w:t>
            </w:r>
          </w:p>
        </w:tc>
        <w:tc>
          <w:tcPr>
            <w:tcW w:w="3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12.16.</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Table of Contents, Headings, etc.</w:t>
            </w:r>
          </w:p>
        </w:tc>
        <w:tc>
          <w:tcPr>
            <w:tcW w:w="395" w:type="dxa"/>
            <w:tcBorders/>
            <w:vAlign w:val="center"/>
          </w:tcPr>
          <w:p>
            <w:pPr>
              <w:pStyle w:val="TableContents"/>
              <w:bidi w:val="0"/>
              <w:spacing w:before="0" w:after="283"/>
              <w:jc w:val="right"/>
              <w:rPr/>
            </w:pPr>
            <w:r>
              <w:rPr/>
              <w:t>1</w:t>
            </w:r>
            <w:r>
              <w:rPr>
                <w:rFonts w:ascii="Times New Roman;Times;Serif" w:hAnsi="Times New Roman;Times;Serif"/>
                <w:sz w:val="20"/>
              </w:rPr>
              <w:t>10</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12.17.</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RESERVED</w:t>
            </w:r>
          </w:p>
        </w:tc>
        <w:tc>
          <w:tcPr>
            <w:tcW w:w="395" w:type="dxa"/>
            <w:tcBorders/>
            <w:vAlign w:val="center"/>
          </w:tcPr>
          <w:p>
            <w:pPr>
              <w:pStyle w:val="TableContents"/>
              <w:bidi w:val="0"/>
              <w:spacing w:before="0" w:after="283"/>
              <w:jc w:val="right"/>
              <w:rPr/>
            </w:pPr>
            <w:r>
              <w:rPr/>
              <w:t>1</w:t>
            </w:r>
            <w:r>
              <w:rPr>
                <w:rFonts w:ascii="Times New Roman;Times;Serif" w:hAnsi="Times New Roman;Times;Serif"/>
                <w:sz w:val="20"/>
              </w:rPr>
              <w:t>10</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12.18.</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Patriot Act</w:t>
            </w:r>
          </w:p>
        </w:tc>
        <w:tc>
          <w:tcPr>
            <w:tcW w:w="395" w:type="dxa"/>
            <w:tcBorders/>
            <w:vAlign w:val="center"/>
          </w:tcPr>
          <w:p>
            <w:pPr>
              <w:pStyle w:val="TableContents"/>
              <w:bidi w:val="0"/>
              <w:spacing w:before="0" w:after="283"/>
              <w:jc w:val="right"/>
              <w:rPr/>
            </w:pPr>
            <w:r>
              <w:rPr/>
              <w:t>1</w:t>
            </w:r>
            <w:r>
              <w:rPr>
                <w:rFonts w:ascii="Times New Roman;Times;Serif" w:hAnsi="Times New Roman;Times;Serif"/>
                <w:sz w:val="20"/>
              </w:rPr>
              <w:t>10</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12.19.</w:t>
            </w:r>
          </w:p>
        </w:tc>
        <w:tc>
          <w:tcPr>
            <w:tcW w:w="83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Waiver of Immunities</w:t>
            </w:r>
          </w:p>
        </w:tc>
        <w:tc>
          <w:tcPr>
            <w:tcW w:w="395" w:type="dxa"/>
            <w:tcBorders/>
            <w:vAlign w:val="center"/>
          </w:tcPr>
          <w:p>
            <w:pPr>
              <w:pStyle w:val="TableContents"/>
              <w:bidi w:val="0"/>
              <w:spacing w:before="0" w:after="283"/>
              <w:jc w:val="right"/>
              <w:rPr/>
            </w:pPr>
            <w:r>
              <w:rPr/>
              <w:t>1</w:t>
            </w:r>
            <w:r>
              <w:rPr>
                <w:rFonts w:ascii="Times New Roman;Times;Serif" w:hAnsi="Times New Roman;Times;Serif"/>
                <w:sz w:val="20"/>
              </w:rPr>
              <w:t>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830"/>
        <w:gridCol w:w="8240"/>
      </w:tblGrid>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8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NOTE</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8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OF TRANSFER</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8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OF EXCHANGE</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w:t>
            </w:r>
          </w:p>
        </w:tc>
        <w:tc>
          <w:tcPr>
            <w:tcW w:w="8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SUPPLEMENTAL INDENTURE TO BE DELIVERED BY SUBSEQUENT GUARANTORS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July 15, 2026, among Prestige Brands, Inc., a Delaware corporation, the Guarantors (as defined herein) from time to time party hereto and U.S. Bank Trust Company, National Association, a national banking association,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(as defined herein) has duly authorized the creation of an issue of $400,000,000 aggregate principal amount of the Issuer’s 6.250% Senior Notes due 2034 (the “</w:t>
      </w:r>
      <w:r>
        <w:rPr>
          <w:rFonts w:ascii="Times New Roman;Times;Serif" w:hAnsi="Times New Roman;Times;Serif"/>
          <w:b/>
          <w:i w:val="false"/>
          <w:caps w:val="false"/>
          <w:smallCaps w:val="false"/>
          <w:sz w:val="20"/>
        </w:rPr>
        <w:t>Initial Notes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duly authorized the execution and delivery of this Indenture (as defined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Issuer, each Guarantor and the Trustee agree as follows for the benefit of each other and for the equal and ratable benefit of the Holders (as defined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w:t>
      </w:r>
      <w:r>
        <w:rPr>
          <w:rFonts w:ascii="Times New Roman;Times;Serif" w:hAnsi="Times New Roman;Times;Serif"/>
          <w:b w:val="false"/>
          <w:i w:val="false"/>
          <w:smallCaps/>
          <w:sz w:val="20"/>
        </w:rPr>
        <w:br/>
        <w:t>definitions and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144A Global Note</w:t>
      </w:r>
      <w:r>
        <w:rPr>
          <w:rFonts w:ascii="Times New Roman;Times;Serif" w:hAnsi="Times New Roman;Times;Serif"/>
          <w:b w:val="false"/>
          <w:i w:val="false"/>
          <w:caps w:val="false"/>
          <w:smallCaps w:val="false"/>
          <w:sz w:val="20"/>
        </w:rPr>
        <w:t>” means a Global Note substantially in the form of Exhibit A hereto bearing the Global Note Legend and the Private Placement Legend and deposited with or on behalf of, and registered in the name of, the Depositary or its nominee, issued in a denomination equal to the outstanding principal amount of the Notes sold in reliance on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2031 Notes</w:t>
      </w:r>
      <w:r>
        <w:rPr>
          <w:rFonts w:ascii="Times New Roman;Times;Serif" w:hAnsi="Times New Roman;Times;Serif"/>
          <w:b w:val="false"/>
          <w:i w:val="false"/>
          <w:caps w:val="false"/>
          <w:smallCaps w:val="false"/>
          <w:sz w:val="20"/>
        </w:rPr>
        <w:t>” means the $600.0 million in aggregate principal amount of the 3.750% senior notes due 2031 issued pursuant to the 2031 Notes Indenture and outstanding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2031 Notes Indenture</w:t>
      </w:r>
      <w:r>
        <w:rPr>
          <w:rFonts w:ascii="Times New Roman;Times;Serif" w:hAnsi="Times New Roman;Times;Serif"/>
          <w:b w:val="false"/>
          <w:i w:val="false"/>
          <w:caps w:val="false"/>
          <w:smallCaps w:val="false"/>
          <w:sz w:val="20"/>
        </w:rPr>
        <w:t>” means the Indenture for the 3.750% senior notes due 2031, dated as of March 1, 2021, among Parent, the Issuer, the other guarantors party thereto and U.S. Bank Trust Company, National Association, as trustee, as in effect on the Issue Date and as amended,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ABL Facility</w:t>
      </w:r>
      <w:r>
        <w:rPr>
          <w:rFonts w:ascii="Times New Roman;Times;Serif" w:hAnsi="Times New Roman;Times;Serif"/>
          <w:b w:val="false"/>
          <w:i w:val="false"/>
          <w:caps w:val="false"/>
          <w:smallCaps w:val="false"/>
          <w:sz w:val="20"/>
        </w:rPr>
        <w:t>” means the credit facility provided under the ABL Credit Agreement dated as of January 31, 2012, among Parent, the Issuer, the lenders party thereto from time to time in their capacities as lenders thereunder, and Citibank, N.A., as administrative agent and collateral agent, and the other parties thereto including any notes, mortgages, guarantees, collateral documents, instruments and agreements executed in connection therewith, and any amendments, supplements, modifications, extensions, replacements, renewals, restatements, refundings or refinancings thereof and any one or more indentures or credit facilities or commercial paper facilities with banks or other institutional lenders or investors that extend, replace, refund, refinance, renew or defease any part of the loans, notes, other credit facilities or commitments thereunder, including any such replacement, refunding or refinancing facility or indenture that increases the amount borrowable thereunder or alters the maturity thereof or adds Restricted Subsidiaries as additional borrowers or guarantors thereunder and whether by the same or any other agent, lender or group of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Acquired Indebtedness</w:t>
      </w:r>
      <w:r>
        <w:rPr>
          <w:rFonts w:ascii="Times New Roman;Times;Serif" w:hAnsi="Times New Roman;Times;Serif"/>
          <w:b w:val="false"/>
          <w:i w:val="false"/>
          <w:caps w:val="false"/>
          <w:smallCaps w:val="false"/>
          <w:sz w:val="20"/>
        </w:rPr>
        <w:t>” means Indebtedness (1) of a Person or any of its Subsidiaries existing at the time such Person becomes a Restricted Subsidiary, (2) assumed in connection with the acquisition of assets from such Person, in each case whether or not Incurred by such Person in connection with such Person becoming a Restricted Subsidiary or such acquisition or (3) of a Person at the time such Person merges or amalgamates with or into or consolidates or otherwise combines with Parent or any Restricted Subsidiary. Acquired Indebtedness shall be deemed to have been Incurred, with respect to clause (1) of the preceding sentence, on the date such Person becomes a Restricted Subsidiary, with respect to clause (2) of the preceding sentence, on the date of consummation of such acquisition of assets and, with respect to clause (3) of the preceding sentence, on the date of the relevant merger, consolidation, amalgamation or other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Notes</w:t>
      </w:r>
      <w:r>
        <w:rPr>
          <w:rFonts w:ascii="Times New Roman;Times;Serif" w:hAnsi="Times New Roman;Times;Serif"/>
          <w:b w:val="false"/>
          <w:i w:val="false"/>
          <w:caps w:val="false"/>
          <w:smallCaps w:val="false"/>
          <w:sz w:val="20"/>
        </w:rPr>
        <w:t>” means any additional Notes (other than the Initial Notes) issued from time to time under this Indenture in accordance with Sections 2.01, 2.02 and 4.09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purposes of this definition,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(including, with correlative meanings, the terms “</w:t>
      </w:r>
      <w:r>
        <w:rPr>
          <w:rFonts w:ascii="Times New Roman;Times;Serif" w:hAnsi="Times New Roman;Times;Serif"/>
          <w:b/>
          <w:i w:val="false"/>
          <w:caps w:val="false"/>
          <w:smallCaps w:val="false"/>
          <w:sz w:val="20"/>
        </w:rPr>
        <w:t>controlling</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controlled by</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under common control with</w:t>
      </w:r>
      <w:r>
        <w:rPr>
          <w:rFonts w:ascii="Times New Roman;Times;Serif" w:hAnsi="Times New Roman;Times;Serif"/>
          <w:b w:val="false"/>
          <w:i w:val="false"/>
          <w:caps w:val="false"/>
          <w:smallCaps w:val="false"/>
          <w:sz w:val="20"/>
        </w:rPr>
        <w:t>”), as used with respect to any Person, shall mean the possession, directly or indirectly, of the power to direct or cause the direction of the management or policies of such Person, whether through the ownership of voting securities, by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means any Registrar, Transfer Agent or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Percentage</w:t>
      </w:r>
      <w:r>
        <w:rPr>
          <w:rFonts w:ascii="Times New Roman;Times;Serif" w:hAnsi="Times New Roman;Times;Serif"/>
          <w:b w:val="false"/>
          <w:i w:val="false"/>
          <w:caps w:val="false"/>
          <w:smallCaps w:val="false"/>
          <w:sz w:val="20"/>
        </w:rPr>
        <w:t>” means 100%; provided that so long as no Event of Default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be continuing or would result therefrom, the Applicable Percentage shall be (1) 50% if, on a pro forma basis after giving effect to such Asset Sale and the use of proceeds therefrom the Consolidated Leverage Ratio would be less than or equal to 5.00 to 1.00 but greater than 4.50 to 1.00, or (2) 0.00% if, on a pro forma basis after giving effect to such Asset Sale and the use of proceeds therefrom, the Consolidated Leverage Ratio would be less than or equal to 4.50 to 1.00. Any Net Proceeds in respect of an Asset Sale that does not constitute Applicable Proceeds as a result of the application of this definition shall collectively constitute “Total Leverage Excess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Premium</w:t>
      </w:r>
      <w:r>
        <w:rPr>
          <w:rFonts w:ascii="Times New Roman;Times;Serif" w:hAnsi="Times New Roman;Times;Serif"/>
          <w:b w:val="false"/>
          <w:i w:val="false"/>
          <w:caps w:val="false"/>
          <w:smallCaps w:val="false"/>
          <w:sz w:val="20"/>
        </w:rPr>
        <w:t>” means, with respect to any Note on any Redemption Date, as determined by the Issuer,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1.0% of the principal amount of such Note,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excess, if any, of (i) the present value at such Redemption Date of (A) the redemption price of such Note at July 15, 2029 (such redemption price being set forth in the table set forth in Section 3.07(b) hereof), plus (B) all required remaining scheduled interest payments due on such Note through July 15, 2029 (excluding accrued but unpaid interest, if any, to the Redemption Date), computed using a discount rate equal to the Treasury Rate as of such Redemption Date plus 50 basis points over (ii) the then outstanding principal amount of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duty to calculate or verify the Issuer’s calculation of the Applicable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Procedures</w:t>
      </w:r>
      <w:r>
        <w:rPr>
          <w:rFonts w:ascii="Times New Roman;Times;Serif" w:hAnsi="Times New Roman;Times;Serif"/>
          <w:b w:val="false"/>
          <w:i w:val="false"/>
          <w:caps w:val="false"/>
          <w:smallCaps w:val="false"/>
          <w:sz w:val="20"/>
        </w:rPr>
        <w:t>” means, with respect to a Depositary, as to any matter at any time, the policies and procedures, if any, of the Depositary, Euroclear or Clearstream that are applicable to such matter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Asset Sale</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voluntary sale, conveyance, transfer or other disposition, whether in a single transaction or a series of related transactions (including by way of a Sale and Lease-Back Transaction) of property or assets of Parent or any of its Restricted Subsidiaries (each referred to in this definition as a “</w:t>
      </w:r>
      <w:r>
        <w:rPr>
          <w:rFonts w:ascii="Times New Roman;Times;Serif" w:hAnsi="Times New Roman;Times;Serif"/>
          <w:b/>
          <w:i w:val="false"/>
          <w:caps w:val="false"/>
          <w:smallCaps w:val="false"/>
          <w:sz w:val="20"/>
        </w:rPr>
        <w:t>disposition</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issuance or sale of Equity Interests of any Restricted Subsidiary (other than Preferred Stock of Restricted Subsidiaries issued in compliance with Section 4.09 hereof), whether in a single transaction or a series of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other than: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disposition of Cash Equivalents or Investment Grade Securities or obsolete, uneconomic, surplus or worn-out property or equipment in the ordinary course of business or consistent with past practice or any disposition of inventory or goods (or other assets) held for sale or no longer used or useful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disposition of all or substantially all of the assets of Parent in a manner permitted pursuant to Section 5.01 hereof or any disposition that constitutes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making of any Restricted Payment that is permitted to be made, and is made, under Section 4.07 hereof or any Permitted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disposition of assets or issuance or sale of Equity Interests of any Restricted Subsidiary in any transaction or series of related transactions with an aggregate fair market value of less than the greater of $95.0 million and 20.0% of LTM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disposition of property or assets or issuance of securities by Parent or a Restricted Subsidiary to Parent or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 dispositions of property to the extent that such property is exchanged for credit against the purchase price of similar replacement property that is promptly purchased, (ii) dispositions of property to the extent that the proceeds of such disposition are promptly applied to the purchase price of such replacement property (which replacement property is actually promptly purchased) and (iii) to the extent allowable under Section 1031 of the Internal Revenue Code of 1986 or comparable law or regulation, any exchange of like property (excluding any boot thereon) for use in a Similar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lease, assignment, sub-lease, license or sub-license of any real or personal property in the ordinary course of business or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issuance or sale of Equity Interests in, or Indebtedness or other securities of, an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foreclosures, condemnation, expropriation or any similar action with respect to assets or the granting of Liens not prohibited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sales of accounts receivable, or participations therein, or Securitization Assets (other than royalties or other revenues (except accounts receivable)) or related assets in connection with any Qualified Securitization Facility or the disposition of an account receivable in connection with the collection or compromise thereof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financing transaction with respect to property or assets built, constructed, leased, renewed, expanded, upgraded, relocated or acquired by Parent or any Restricted Subsidiary after the Issue Date, including Sale and Lease-Back Transactions and asset securitizations;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sale or discount of inventory, accounts receivable or notes receivable in the ordinary course of business or consistent with past practice or the conversion of accounts receivable to notes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conveyances, assignments, sales, transfers, licenses or sublicenses or other dispositions of intellectual property, software or other general intangibles and assignments, licenses, sub-licenses, leases or subleases of other property, in each case, in the ordinary course of business or consistent with past practice or pursuant to a research or development agreement in which the counterparty to such agreement receives a license in the intellectual property or software that result from such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surrender or waiver of contract rights or the settlement, release or surrender of contract rights or other litigation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the unwinding of any Hedging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sales, transfers or other dispositions of Investments in joint ventures or similar entities to the extent required by, or made pursuant to, customary buy/sell arrangements between the joint venture parties set forth in joint venture arrangements and similar binding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the abandonment of intellectual property rights in the ordinary course of business, which in the reasonable good faith determination of Parent are not material to the conduct of the business of Parent and its Restricted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the issuance by a Restricted Subsidiary of Preferred Stock or Disqualified Stock that is permitted by Section 4.09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the granting of a Lien that is permitted by Section 4.12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the issuance of directors’ qualifying shares and shares issued to foreign nationals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dispositions of receivables in connection with the compromise, settlement or collection thereof in the ordinary course of business or consistent with past practice or in bankruptcy or similar proceedings and exclusive of factoring or similar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any disposition of Equity Interests of a Restricted Subsidiary, in each case, pursuant to an agreement or other obligation with or to a Person (other than Parent, the Issuer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any sale, transfer or other disposition to affect the formation of any Subsidiary that is a Delaware Divided LLC; provided that upon formation of such Delaware Divided LLC, such Delaware Divided LLC shall be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transaction (or any portion thereof) meets the criteria of a permitted Asset Sale and would also be a Permitted Investment or an Investment permitted under Section 4.07, Parent, in its sole discretion, will be entitled to divide and classify such transaction (or a portion thereof) as an Asset Sale and/or one or more of the types of Permitted Investments or Investments permitted under Section 4.07.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Available RP Capacity Amount</w:t>
      </w:r>
      <w:r>
        <w:rPr>
          <w:rFonts w:ascii="Times New Roman;Times;Serif" w:hAnsi="Times New Roman;Times;Serif"/>
          <w:b w:val="false"/>
          <w:i w:val="false"/>
          <w:caps w:val="false"/>
          <w:smallCaps w:val="false"/>
          <w:sz w:val="20"/>
        </w:rPr>
        <w:t>” means the amount of Restricted Payments that may be made at the time of determination pursuant to clause (B) of Section 4.07(a) and clauses (iv), (ix), (x), (xv) and (xvii) of Section 4.07(b); provided that the capacity available to make Restricted Payments pursuant Section 4.07 shall be reduced (with such reduction to be classified and/or reclassified among such clauses by the Issuer as described in Section 4.07(c)) by the aggregate principal amount of Indebtedness that has been incurred pursuant to and to the extent outstanding under clause (xxviii) of Section 4.09(b).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Bank Products</w:t>
      </w:r>
      <w:r>
        <w:rPr>
          <w:rFonts w:ascii="Times New Roman;Times;Serif" w:hAnsi="Times New Roman;Times;Serif"/>
          <w:b w:val="false"/>
          <w:i w:val="false"/>
          <w:caps w:val="false"/>
          <w:smallCaps w:val="false"/>
          <w:sz w:val="20"/>
        </w:rPr>
        <w:t>” means any facilities or services related to cash management, including treasury, depository, overdraft, credit or debit card, purchase card, electronic funds transfer and other cash management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Bankruptcy Law</w:t>
      </w:r>
      <w:r>
        <w:rPr>
          <w:rFonts w:ascii="Times New Roman;Times;Serif" w:hAnsi="Times New Roman;Times;Serif"/>
          <w:b w:val="false"/>
          <w:i w:val="false"/>
          <w:caps w:val="false"/>
          <w:smallCaps w:val="false"/>
          <w:sz w:val="20"/>
        </w:rPr>
        <w:t>” means Title 11, U.S. Code, as amended, or any similar federal or state law for the relief of debtors.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Borrowing Base</w:t>
      </w:r>
      <w:r>
        <w:rPr>
          <w:rFonts w:ascii="Times New Roman;Times;Serif" w:hAnsi="Times New Roman;Times;Serif"/>
          <w:b w:val="false"/>
          <w:i w:val="false"/>
          <w:caps w:val="false"/>
          <w:smallCaps w:val="false"/>
          <w:sz w:val="20"/>
        </w:rPr>
        <w:t xml:space="preserve">” means an amount equal to the sum of (i) 90% of the face amount of the accounts receivable owing by account debtors that have Investment Grade Ratings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85% of the face amount of the accounts receivable owing by account debtors that do not have Investment Grade Ratings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(iii) the lesser of (x) 85% of the lower of cost or market value or (y) 85% of net orderly liquidation value, in each case, of the inventory, in each case, of Parent and its Restricted Subsidiaries as of the date of the most recent internally available consolidated balance sheet of Parent on the date of determination determined on a pro forma basis to include any asset directly or indirectly acquired or disposed of by Parent and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each day which is not a Legal Holiday. 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not be reflected in computing interest or fees,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 corporation, corporate stock or shares in the capital of such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an association or business entity, any and all shares, interests, participations, rights or other equivalents (however designated) of corporate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a partnership or limited liability company, partnership or membership interests (whether general or limited);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other interest or participation that confers on a Person the right to receive a share of the profits and losses of, or distributions of assets of, the issuing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Capitalized Lease Obligation</w:t>
      </w:r>
      <w:r>
        <w:rPr>
          <w:rFonts w:ascii="Times New Roman;Times;Serif" w:hAnsi="Times New Roman;Times;Serif"/>
          <w:b w:val="false"/>
          <w:i w:val="false"/>
          <w:caps w:val="false"/>
          <w:smallCaps w:val="false"/>
          <w:sz w:val="20"/>
        </w:rPr>
        <w:t xml:space="preserve">” means an obligation that is required to be classified and accounted for as a capitalized lease (and, for the avoidance of doubt, not a straight-line or operating lease) for financial reporting purposes on the basis of GAAP. The amount of Indebtedness represented by such obligation will be the capitalized amount of such obligation at the time any determination thereof is to be made as determined on the basis of GAAP, and the stated maturity thereof will be the date of the last payment of rent or any other amount due under such lease prior to the first date such lease may be terminated without penalty;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notwithstanding anything to the contrary contained herein (x) for purposes of the financial statements are reporting required hereunder, effect shall be given to Accounting Standards Codification 842 (or any other Accounting Standards Codification or Financial Accounting Standard having a similar result or effect) (and related interpretations) (collectively “ASC 842”) and (y) notwithstanding clause (x) above, if the effect of ASC 842 would be material in calculating any financial ratio or test, the Borrower may elect to apply GAAP without giving effect to ASC 842 to the extent any lease (or similar arrangement conveying the right to use) would be required to be treated as a Capitalized Lease thereunder where such lease (or similar arrangement) would have been treated as an operating lease or otherwise under GAAP as in effect immediately prior to the effectiveness of the Accounting Standards Codification 842.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Cash Equivalents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United States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Canadian dollars, pounds sterling, yen, euros or any national currency of any participating member state of the EMU; or (ii) in the case of any Foreign Subsidiary that is a Restricted Subsidiary, such local currencies held by it from time to time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readily marketable obligations issued or directly and fully guaranteed or insured by the government or any agency or instrumentality of the United States, Canada, Australia or the United Kingdom having average maturities of not more than 24 months from the date of acquisition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full faith and credit of the United States, Canada, Australia or the United Kingdom, as applicable, is pledged in support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certificates of deposit, time deposits and eurodollar time deposits with maturities of 24 months or less from the date of acquisition, demand deposits, bankers’ acceptances with maturities not exceeding one year and overnight bank deposits, in each case with any domestic or foreign commercial bank having capital and surplus of not less than $250.0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repurchase obligations for underlying securities of the types described in clauses (c), (d), (g) and (h) entered into with any financial institution or recognized securities dealer meeting the qualifications specified in clause (d)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commercial paper and variable or fixed rate notes rated at least P-2 by Moody’s or at least A-2 by S&amp;P (or, if at any time neither Moody’s nor S&amp;P shall be rating such obligations, an equivalent rating from another Rating Agency) and in each case maturing within 24 months after the date of creation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marketable short-term money market and similar funds having a rating of at least P-2 or A-2 from either Moody’s or S&amp;P, respectively (or, if at any time neither Moody’s nor S&amp;P shall be rating such obligations, an equivalent rating from another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readily marketable direct obligations issued by any state, commonwealth or territory of the United States or any political subdivision or taxing authority thereof having an Investment Grade Rating from either Moody’s or S&amp;P (or, if at any time neither Moody’s nor S&amp;P shall be rating such obligations, an equivalent rating from another Rating Agency) with maturities of 24 months or less from the date of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readily marketable direct obligations issued by any foreign government or any political subdivision or public instrumentality thereof, in each case having an Investment Grade Rating from either Moody’s or S&amp;P (or, if at any time neither Moody’s nor S&amp;P shall be rating such obligations, an equivalent rating from another Rating Agency) with maturities of 24 months or less from the date of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Investments with average maturities of 24 months or less from the date of acquisition in money market funds rated AAA- (or the equivalent thereof) or better by S&amp;P or Aaa3 (or the equivalent thereof) or better by Moody’s (or, if at any time neither Moody’s nor S&amp;P shall be rating such obligations, an equivalent rating from another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securities with maturities of 14 months or less from the date of acquisition backed by standby letters of credit issued by any financial institution or recognized securities dealer meeting the qualifications specified in clause (d) above;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investment funds investing substantially all of their assets in securities of the types described in clauses (a) through (k)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Investments by any Foreign Subsidiary that is a Restricted Subsidiary or Investments made in a country outside the United States of America, Cash Equivalents shall also include (i) investments of the type and maturity described in clauses (a) through (h) and clauses (i), (j), (k) and (l) above of foreign obligors, which Investments or obligors (or the parents of such obligors) have ratings described in such clauses or equivalent ratings from comparable foreign rating agencies and (ii) other short-term investments utilized by Foreign Subsidiaries that are Restricted Subsidiaries in accordance with normal investment practices for cash management in investments analogous to the foregoing investments in clauses (a) through (l) and in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Cash Equivalents shall include amounts denominated in currencies other than those set forth in clauses (a) and (b)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amounts are converted into any currency listed in clauses (a) and (b) as promptly as practicable and in any event within ten Business Days following the receipt of such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the occurrence of any of the following after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becomes aware of (by way of a report or any other filing pursuant to Section 13(d) of the Exchange Act, proxy, vote, written notice or otherwise) the acquisition by any person or “group” (within the meaning of Rules 13d-3 and 13d-5 under the Exchange Act as in effect on the Issue Date, but excluding (i) any employee benefit plan of such person and its Subsidiaries, (ii) any person or entity acting in its capacity as trustee, agent or other fiduciary or administrator of any such plan, (iii) any one or more Persons, together with such Persons’ Affiliates, whose beneficial ownership constitutes or results in a Change of Control in respect of which a Change of Control Offer is made in accordance with the requirements of this Indenture, and (iv) any group (within the meaning of Section 13(d)(3) or Section 14(d)(2) of the Exchange Act or any successor provision) of which any of the foregoing are members so long as the Persons described in clause (i) through (iii) also contain the vote of a majority of the voting power of all Equity Interests of Parent owned by members of such group (those Persons described in clauses (i), (ii) (iii) and (iv), the “</w:t>
      </w:r>
      <w:r>
        <w:rPr>
          <w:rFonts w:ascii="Times New Roman;Times;Serif" w:hAnsi="Times New Roman;Times;Serif"/>
          <w:b/>
          <w:i w:val="false"/>
          <w:caps w:val="false"/>
          <w:smallCaps w:val="false"/>
          <w:sz w:val="20"/>
        </w:rPr>
        <w:t>Permitted Holders</w:t>
      </w:r>
      <w:r>
        <w:rPr>
          <w:rFonts w:ascii="Times New Roman;Times;Serif" w:hAnsi="Times New Roman;Times;Serif"/>
          <w:b w:val="false"/>
          <w:i w:val="false"/>
          <w:caps w:val="false"/>
          <w:smallCaps w:val="false"/>
          <w:sz w:val="20"/>
        </w:rPr>
        <w:t>”)), shall have, directly or indirectly (including by way of merger or consolidation), acquired beneficial ownership of Equity Interests representing 50% or more of the aggregate voting power represented by the issued and outstanding Equity Interests of Parent;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shall cease to be a Subsidiary of Parent except in connection with a merger, amalgamation or combination between the Issuer and Parent or a Restricted Subsidiary permitted pursuant to Section 5.01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transaction will not be deemed to involve a Change of Control if (1) Parent becomes a direct or indirect wholly owned subsidiary of a holding company and (2) the direct or indirect holders of the voting power of such holding company immediately following that transaction are substantially the same (other than a holding company satisfying the requirements of this sentence or the Permitted Holders) as the holders of Parent’s voting power immediately prior to that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Depreciation and Amortization Expense</w:t>
      </w:r>
      <w:r>
        <w:rPr>
          <w:rFonts w:ascii="Times New Roman;Times;Serif" w:hAnsi="Times New Roman;Times;Serif"/>
          <w:b w:val="false"/>
          <w:i w:val="false"/>
          <w:caps w:val="false"/>
          <w:smallCaps w:val="false"/>
          <w:sz w:val="20"/>
        </w:rPr>
        <w:t>” means with respect to any Person for any period, the total amount of depreciation and amortization expense, including amortization or write-off of (i) intangibles and non-cash organization costs, (ii) deferred financing fees or costs and (iii) costs, capitalized expenditures, customer acquisition costs and incentive payments, conversion costs and contract acquisition costs, the amortization of original issue discount resulting from the issuance of Indebtedness at less than par and amortization of favorable or unfavorable lease assets or liabilities, of such Person and its Restricted Subsidiaries for such period on a consolidated basis and otherwise determined in accordance with GAAP and any write down of assets or asset value carried on the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Interest Expense</w:t>
      </w:r>
      <w:r>
        <w:rPr>
          <w:rFonts w:ascii="Times New Roman;Times;Serif" w:hAnsi="Times New Roman;Times;Serif"/>
          <w:b w:val="false"/>
          <w:i w:val="false"/>
          <w:caps w:val="false"/>
          <w:smallCaps w:val="false"/>
          <w:sz w:val="20"/>
        </w:rPr>
        <w:t>” means, with respect to any Person for any period, without duplication, 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consolidated interest expense of such Person and its Restricted Subsidiaries for such period, to the extent such expense was deducted (and not added back) in computing Consolidated Net Income (including (i) amortization of original issue discount resulting from the issuance of Indebtedness at less than par, (ii) all commissions, discounts and other fees and charges owed with respect to letters of credit or bankers acceptances, (iii) non-cash interest payments (but excluding any non-cash interest expense attributable to the movement in the mark to market valuation of Hedging Obligations or other derivative instruments pursuant to GAAP), (iv) the interest component of Capitalized Lease Obligations, and (v) net payments, if any, pursuant to interest rate Hedging Obligations with respect to Indebtedness, and excluding (r) annual agency fees paid to the administrative agents and collateral agents under any Credit Facilities, (s) non-interest costs associated with obtaining Hedging Obligations, (t) any expense resulting from the discounting of any Indebtedness in connection with the application of recapitalization accounting or, if applicable, purchase accounting in connection with the Transactions or any acquisition, (u) penalties and interest relating to taxes, (v) any “additional interest” or “liquidated damages” with respect to other securities for failure to timely comply with registration rights obligations, (w) amortization or expensing of deferred financing fees, amendment and consent fees, debt issuance costs, commissions, fees and expenses and discounted liabilities, (x) any expensing of bridge, commitment and other financing fees and any other fees related to any consummated acquisition or any acquisitions after the Issue Date, (y) commissions, discounts, yield and other fees and charges (including any interest expense) related to any Qualified Securitization Facility and (z) any accretion of accrued interest on discounted liabilities and any prepayment premium or penalty);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consolidated capitalized interest of such Person and its Restricted Subsidiaries for such period, whether paid or accrued; </w:t>
      </w:r>
      <w:r>
        <w:rPr>
          <w:rFonts w:ascii="Times New Roman;Times;Serif" w:hAnsi="Times New Roman;Times;Serif"/>
          <w:b w:val="false"/>
          <w:i/>
          <w:caps w:val="false"/>
          <w:smallCaps w:val="false"/>
          <w:sz w:val="20"/>
        </w:rPr>
        <w:t>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interest income of such Person and its Restricted Subsidiaries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Leverage Ratio</w:t>
      </w:r>
      <w:r>
        <w:rPr>
          <w:rFonts w:ascii="Times New Roman;Times;Serif" w:hAnsi="Times New Roman;Times;Serif"/>
          <w:b w:val="false"/>
          <w:i w:val="false"/>
          <w:caps w:val="false"/>
          <w:smallCaps w:val="false"/>
          <w:sz w:val="20"/>
        </w:rPr>
        <w:t xml:space="preserve">” means, as of any date of determination, the ratio of (x) the sum of (1) Consolidated Total Indebtedness as of such date of determination and (2) the Reserved Indebtedness Amount,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the aggregate amount of unrestricted cash and Cash Equivalents of Parent and its Restricted Subsidiaries, on a consolidated basis, as of the end of the most recent fiscal period for which internal financial statements of Parent are available, to (y) EBITDA of Parent for the most recently ended four full fiscal quarters for which internal financial statements are available immediately preceding the date on which such event for which such calculation is being made shall occur, with such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adjustments to Consolidated Total Indebtedness and EBITDA as are consistent with the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adjustment provisions set forth in the definition of Fixed Charge Coverage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Net Income</w:t>
      </w:r>
      <w:r>
        <w:rPr>
          <w:rFonts w:ascii="Times New Roman;Times;Serif" w:hAnsi="Times New Roman;Times;Serif"/>
          <w:b w:val="false"/>
          <w:i w:val="false"/>
          <w:caps w:val="false"/>
          <w:smallCaps w:val="false"/>
          <w:sz w:val="20"/>
        </w:rPr>
        <w:t xml:space="preserve">” means, with respect to any Person for any period, the aggregate of the Net Income of such Person and its Restricted Subsidiaries for such period, on a consolidated basis, and otherwise determined in accordance with GAAP;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after-tax effect of extraordinary, non-recurring or unusual items (including gains or losses and all fees and expenses relating thereto) for such period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cumulative effect of a change in accounting principles and changes as a result of the adoption or modification of accounting policies during such period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net after-tax effect of gains or losses on disposal, abandonment or discontinuance of disposed, abandoned or discontinued operations, as applicable,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net after-tax effect of gains or losses (less all fees, expenses and charges relating thereto) attributable to asset dispositions or abandonments or the sale or other disposition of any Capital Stock of any Person other than in the ordinary course of business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Net Income for such period of any Person that is not a Subsidiary, or is an Unrestricted Subsidiary, or that is accounted for by the equity method of accounting shall be excluded;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Consolidated Net Income of such Person shall be increased by the amount of dividends or distributions or other payments that are actually paid in cash (or to the extent converted into cash) to such Person or a Restricted Subsidiary thereof in respect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solely for the purpose of determining the amount available for Restricted Payments under Section 4.07(a)(B)(1) hereof, the Net Income for such period of any Restricted Subsidiary (other than any Guarantor) shall be excluded to the extent that the declaration or payment of dividends or similar distributions by that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(other than restrictions in the Notes or this Indenture), unless such restriction with respect to the payment of dividends or similar distributions has been legally waived,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Consolidated Net Income of such Person will be increased by the amount of dividends or other distributions or other payments actually paid in cash (or to the extent converted into cash) or could have been distributed, as reasonably determined by an Officer of Parent, to such Person or a Restricted Subsidiary thereof in respect of such period, to the extent not already included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effects of adjustments in such Person’s consolidated financial statements pursuant to GAAP (including in the inventory, property and equipment, software, goodwill, intangible assets, in-process research and development, deferred revenue and debt line items thereof) resulting from the application of purchase accounting, as the case may be, in relation to any consummated acquisition or joint venture investment or the amortization or write-off or write-down of any amounts thereof, net of taxes,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after-tax effect of income (loss) from the early extinguishment or conversion of (i) Indebtedness, (ii) Hedging Obligations or (iii) other derivative instruments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impairment charge or asset write-off or write-down, including impairment charges or asset write-offs or write-downs related to intangible assets, long-lived assets, investments in debt and equity securities and investments recorded using the equity method or as a result of a change in law or regulation, in each case, pursuant to GAAP, and the amortization of intangibles arising pursuant to GAAP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equity-based or non-cash compensation charge or expense including any such charge or expense arising from grants of stock appreciation or similar rights, stock options, restricted stock or other rights or equity incentive programs, and any cash charges associated with the rollover, acceleration, or payout of Equity Interests by management of Parent in connection with any consummated acquisition,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fees, losses, costs expenses or charges incurred during such period (including any transaction, retention bonus or similar payment), or any amortization thereof for such period, in connection with any acquisition, recapitalization, Investment, Asset Sale, disposition, incurrence or repayment of Indebtedness (including such fees, expenses or charges related to the offering and issuance and rating of the Notes and other securities and the syndication and incurrence of any Credit Facilities), issuance of Equity Interests, refinancing transaction or amendment or modification of any debt instrument (including any amendment or other modification of the Notes and other securities and any Credit Facilities), in each case, including the Transactions, any such transaction consummated on or prior to the Issue Date and any such transaction undertaken but not completed, and any charges or non-recurring merger costs incurred during such period as a result of any such transaction, in each case whether or not successful or consummated (including, for the avoidance of doubt the effects of expensing all transaction related expenses in accordance with Financial Accounting Standards Board Accounting Standards Codification 805),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accruals and reserves that are established within twelve months after the Issue Date that are so required to be established as a result of the Transactions (or within twelve months after the closing of any acquisition that are so required to be established as a result of such acquisition) in accordance with GAAP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expenses, charges or losses to the extent covered by insurance or indemnity and actually reimbursed, or, so long as such Person has made a determination that there exists reasonable evidence that such amount will in fact be reimbursed by the insurer or indemnifying party and only to the extent that such amount is in fact reimbursed within 365 days of the date of the insurable or indemnifiable event (net of any amount so added back in any prior period to the extent not so reimbursed within the applicable 365-day period),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any noncash compensation expense resulting from the application of Accounting Standards Codification Topic No. 718, </w:t>
      </w:r>
      <w:r>
        <w:rPr>
          <w:rFonts w:ascii="Times New Roman;Times;Serif" w:hAnsi="Times New Roman;Times;Serif"/>
          <w:b w:val="false"/>
          <w:i/>
          <w:caps w:val="false"/>
          <w:smallCaps w:val="false"/>
          <w:sz w:val="20"/>
        </w:rPr>
        <w:t>Compensation</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shall be excluded,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following items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net unrealized gain or loss (after any offset) resulting in such period from Hedging Obligations and the application of Accounting Standards Codification Topic No.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net unrealized gain or loss (after any offset) resulting in such period from currency translation gains or losses including those related to currency remeasurements of Indebtedness (including any net loss or gain resulting from Hedging Obligations for currency exchange risk) and any other foreign currency translation gains and losses, to the extent such gain or losses are non-cash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adjustments resulting for the application of Accounting Standards Codification Topic No. 460, </w:t>
      </w:r>
      <w:r>
        <w:rPr>
          <w:rFonts w:ascii="Times New Roman;Times;Serif" w:hAnsi="Times New Roman;Times;Serif"/>
          <w:b w:val="false"/>
          <w:i/>
          <w:caps w:val="false"/>
          <w:smallCaps w:val="false"/>
          <w:sz w:val="20"/>
        </w:rPr>
        <w:t>Guarantees</w:t>
      </w:r>
      <w:r>
        <w:rPr>
          <w:rFonts w:ascii="Times New Roman;Times;Serif" w:hAnsi="Times New Roman;Times;Serif"/>
          <w:b w:val="false"/>
          <w:i w:val="false"/>
          <w:caps w:val="false"/>
          <w:smallCaps w:val="false"/>
          <w:sz w:val="20"/>
        </w:rPr>
        <w:t>, or any comparable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effects of adjustments to accruals and reserves during a prior period relating to any change in the methodology of calculating reserves for returns, rebates and other chargebacks,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earn-out and contingent consideration obligations (including to the extent accounted for as bonuses or otherwise) and adjustments thereof and purchase price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extent not already included in the Consolidated Net Income of such Person and its Restricted Subsidiaries, notwithstanding anything to the contrary in the foregoing, Consolidated Net Income shall include the amount of proceeds received from business interruption insurance and reimbursements of any expenses and charges that are covered by indemnification or other reimbursement provisions in connection with any acquisition, Investment or any sale, conveyance, transfer or other disposition of assets permitted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for the purpose of Section 4.07 hereof only (other than Section 4.07(a)(B)(4) hereof), there shall be excluded from Consolidated Net Income any income arising from any sale or other disposition of Restricted Investments made by Parent and its Restricted Subsidiaries, any repurchases and redemptions of Restricted Investments from Parent and its Restricted Subsidiaries, any repayments of loans and advances which constitute Restricted Investments by Parent or any of its Restricted Subsidiaries, any sale of the stock of an Unrestricted Subsidiary or any distribution or dividend from an Unrestricted Subsidiary, in each case only to the extent such amounts increase the amount of Restricted Payments permitted under such covenant pursuant to Section 4.07(a)(B)(4)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Secured Debt Ratio</w:t>
      </w:r>
      <w:r>
        <w:rPr>
          <w:rFonts w:ascii="Times New Roman;Times;Serif" w:hAnsi="Times New Roman;Times;Serif"/>
          <w:b w:val="false"/>
          <w:i w:val="false"/>
          <w:caps w:val="false"/>
          <w:smallCaps w:val="false"/>
          <w:sz w:val="20"/>
        </w:rPr>
        <w:t xml:space="preserve">” means, as of any date of determination, the ratio of (x) the sum of (1) Consolidated Total Indebtedness that is secured by Liens on the property of Parent and its Restricted Subsidiaries as of such date and (2) the Reserved Indebtedness Amount secured by a Lien as of such date,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the aggregate amount of cash and Cash Equivalents of Parent and the Restricted Subsidiaries on a consolidated basis as of the end of the most recent fiscal period for which internal financial statements of Parent are available (other than the proceeds of Secured Indebtedness being incurred in reliance on the Consolidated Secured Debt Ratio on such date), to (y) EBITDA of Parent for the most recently ended four full fiscal quarters for which internal financial statements are available immediately preceding the date on which such event for which such calculation is being made shall occur, in each case with such pro forma adjustments to Consolidated Total Indebtedness and EBITDA as are consistent with the pro forma adjustment provisions set forth in the definition of Fixed Charge Coverage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Total Indebtedness</w:t>
      </w:r>
      <w:r>
        <w:rPr>
          <w:rFonts w:ascii="Times New Roman;Times;Serif" w:hAnsi="Times New Roman;Times;Serif"/>
          <w:b w:val="false"/>
          <w:i w:val="false"/>
          <w:caps w:val="false"/>
          <w:smallCaps w:val="false"/>
          <w:sz w:val="20"/>
        </w:rPr>
        <w:t xml:space="preserve">” means, as at any date of determination, an amount equal to the sum of (a) the aggregate amount of all outstanding Indebtedness of Parent and its Restricted Subsidiaries on a consolidated basis consisting of Indebtedness for borrowed money, Obligations in respect of Capitalized Lease Obligations and debt obligations evidenced by promissory notes and similar instruments, as determined in accordance with GAAP (excluding for the avoidance of doubt all undrawn amounts under revolving credit facilities and all obligations relating to Qualified Securitization Facilities) and (b) the aggregate amount of all outstanding Disqualified Stock of Parent and all Preferred Stock of its Restricted Subsidiaries on a consolidated basis, with the amount of such Disqualified Stock and Preferred Stock equal to the greater of their respective voluntary or involuntary liquidation preferences and maximum fixed repurchase prices, in each case determined on a consolidated basis in accordance with GAAP (but excluding the effects of any discounting of Indebtedness resulting from the application of repurchase or purchase accounting in connection with the Transactions or any acquisition);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Consolidated Total Indebtedness shall not include Indebtedness in respect of (A) any letter of credit, except to the extent of unreimbursed amounts under standby letters of credit and (B) Hedging Obligations. For purposes hereof, the “</w:t>
      </w:r>
      <w:r>
        <w:rPr>
          <w:rFonts w:ascii="Times New Roman;Times;Serif" w:hAnsi="Times New Roman;Times;Serif"/>
          <w:b/>
          <w:i w:val="false"/>
          <w:caps w:val="false"/>
          <w:smallCaps w:val="false"/>
          <w:sz w:val="20"/>
        </w:rPr>
        <w:t>maximum fixed repurchase price</w:t>
      </w:r>
      <w:r>
        <w:rPr>
          <w:rFonts w:ascii="Times New Roman;Times;Serif" w:hAnsi="Times New Roman;Times;Serif"/>
          <w:b w:val="false"/>
          <w:i w:val="false"/>
          <w:caps w:val="false"/>
          <w:smallCaps w:val="false"/>
          <w:sz w:val="20"/>
        </w:rPr>
        <w:t>” 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Total Indebtedness shall be required to be determined pursuant to this Indenture, and if such price is based upon, or measured by, the fair market value of such Disqualified Stock or Preferred Stock, such fair market value shall be determined reasonably and in good faith by Parent. The U.S. Dollar Equivalent principal amount of any Indebtedness denominated in a foreign currency will reflect the currency translation effects, determined in accordance with GAAP, of Hedging Obligations for currency exchange risks with respect to the applicable currency in effect on the date of determination of the U.S. Dollar Equivalent principal amount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Contingent Obligations</w:t>
      </w:r>
      <w:r>
        <w:rPr>
          <w:rFonts w:ascii="Times New Roman;Times;Serif" w:hAnsi="Times New Roman;Times;Serif"/>
          <w:b w:val="false"/>
          <w:i w:val="false"/>
          <w:caps w:val="false"/>
          <w:smallCaps w:val="false"/>
          <w:sz w:val="20"/>
        </w:rPr>
        <w:t>” means, with respect to any Person, any obligation of such Person guaranteeing any leases, dividends or other obligations that do not constitute Indebtedness (“</w:t>
      </w:r>
      <w:r>
        <w:rPr>
          <w:rFonts w:ascii="Times New Roman;Times;Serif" w:hAnsi="Times New Roman;Times;Serif"/>
          <w:b/>
          <w:i w:val="false"/>
          <w:caps w:val="false"/>
          <w:smallCaps w:val="false"/>
          <w:sz w:val="20"/>
        </w:rPr>
        <w:t>primary obligations</w:t>
      </w:r>
      <w:r>
        <w:rPr>
          <w:rFonts w:ascii="Times New Roman;Times;Serif" w:hAnsi="Times New Roman;Times;Serif"/>
          <w:b w:val="false"/>
          <w:i w:val="false"/>
          <w:caps w:val="false"/>
          <w:smallCaps w:val="false"/>
          <w:sz w:val="20"/>
        </w:rPr>
        <w:t>”) of any other Person (the “</w:t>
      </w:r>
      <w:r>
        <w:rPr>
          <w:rFonts w:ascii="Times New Roman;Times;Serif" w:hAnsi="Times New Roman;Times;Serif"/>
          <w:b/>
          <w:i w:val="false"/>
          <w:caps w:val="false"/>
          <w:smallCaps w:val="false"/>
          <w:sz w:val="20"/>
        </w:rPr>
        <w:t>primary obligor</w:t>
      </w:r>
      <w:r>
        <w:rPr>
          <w:rFonts w:ascii="Times New Roman;Times;Serif" w:hAnsi="Times New Roman;Times;Serif"/>
          <w:b w:val="false"/>
          <w:i w:val="false"/>
          <w:caps w:val="false"/>
          <w:smallCaps w:val="false"/>
          <w:sz w:val="20"/>
        </w:rPr>
        <w:t>”) in any manner, whether directly or indirectly, including, without limitation, any obligation of such Person, whether or not contingent,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purchase any such primary obligation or any property constituting direct or indirect security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advance or supply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the purchase or payment of any such primary obligation;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maintain the working capital or equity capital of the primary obligor or otherwise to maintain the net worth or solvency of the primary obligor;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purchase property, securities or services primarily for the purpose of assuring the owner of any such primary obligation of the ability of the primary obligor to make payment of such primary obligation against loss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Controlled Investment Affiliate</w:t>
      </w:r>
      <w:r>
        <w:rPr>
          <w:rFonts w:ascii="Times New Roman;Times;Serif" w:hAnsi="Times New Roman;Times;Serif"/>
          <w:b w:val="false"/>
          <w:i w:val="false"/>
          <w:caps w:val="false"/>
          <w:smallCaps w:val="false"/>
          <w:sz w:val="20"/>
        </w:rPr>
        <w:t>” 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Parent and/or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at any time its corporate trust business related to this Indenture shall be administered, which office at the date hereof is 60 Livingston Avenue, St. Paul, Minnesota 55107-1419, Attention: Global Corporate Trust Services EP-MN-WS3C,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Credit Facilities</w:t>
      </w:r>
      <w:r>
        <w:rPr>
          <w:rFonts w:ascii="Times New Roman;Times;Serif" w:hAnsi="Times New Roman;Times;Serif"/>
          <w:b w:val="false"/>
          <w:i w:val="false"/>
          <w:caps w:val="false"/>
          <w:smallCaps w:val="false"/>
          <w:sz w:val="20"/>
        </w:rPr>
        <w:t>” means, with respect to Parent or any of its Restricted Subsidiaries, one or more debt facilities, including the Senior Secured Credit Facilities, or other financing arrangements (including, without limitation, commercial paper facilities or indentures) providing for revolving credit loans, term loans, letters of credit or other indebtedness, including any notes, mortgages, guarantees, collateral documents, instruments and agreements executed in connection therewith, and any amendments, supplements, modifications, extensions, renewals, restatements or refundings thereof, in whole or in part, and any indentures or credit facilities or commercial paper facilities that replace, refund, supplement or refinance any part of the loans, notes, other credit facilities or commitments thereunder, including any such replacement, refunding, supplemental or refinancing facility, arrangement or indenture that increases the amount permitted to be borrowed or issued thereunder or alters the maturity thereof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increase in borrowings or issuances is permitted under Section 4.09 hereof) or adds Restricted Subsidiaries as additional borrowers or guarantors thereunder and whether by the same or any other agent, trustee, lender or group of lenders or other holders. For the avoidance of doubt, subject to Section 4.09(c)(i) hereof a refinancing or replacement an indenture, credit facility or commercial paper facility with another indenture, credit facility or commercial paper facility that is not simultaneous with the termination or of the then-existing indenture, credit facility or commercial paper facility may constitute a Credit Facility for the purposes hereof notwithstanding such lack of simultaneity in such refinancing or replacement.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Custodian</w:t>
      </w:r>
      <w:r>
        <w:rPr>
          <w:rFonts w:ascii="Times New Roman;Times;Serif" w:hAnsi="Times New Roman;Times;Serif"/>
          <w:b w:val="false"/>
          <w:i w:val="false"/>
          <w:caps w:val="false"/>
          <w:smallCaps w:val="false"/>
          <w:sz w:val="20"/>
        </w:rPr>
        <w:t>” means the Trustee, as custodian with respect to the Notes, each in global form, or any successor entity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xml:space="preserve">” means any event that is, or with the passage of time or the giving of notice or both would be, an Event of Default;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Default that results solely from the taking of an action that would have been permitted but for the continuation of a previous Default will be deemed to be cured if such previous Default is cured prior to becoming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Definitive Note</w:t>
      </w:r>
      <w:r>
        <w:rPr>
          <w:rFonts w:ascii="Times New Roman;Times;Serif" w:hAnsi="Times New Roman;Times;Serif"/>
          <w:b w:val="false"/>
          <w:i w:val="false"/>
          <w:caps w:val="false"/>
          <w:smallCaps w:val="false"/>
          <w:sz w:val="20"/>
        </w:rPr>
        <w:t>” means a certificated Note registered in the name of the Holder thereof and issued in accordance with Section 2.06(c) hereof, substantially in the form of Exhibit A except that such Note shall not bear the Global Note Legend and shall not have the “Schedule of Exchanges of Interests in the Global Note” attached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Delaware Divided LLC</w:t>
      </w:r>
      <w:r>
        <w:rPr>
          <w:rFonts w:ascii="Times New Roman;Times;Serif" w:hAnsi="Times New Roman;Times;Serif"/>
          <w:b w:val="false"/>
          <w:i w:val="false"/>
          <w:caps w:val="false"/>
          <w:smallCaps w:val="false"/>
          <w:sz w:val="20"/>
        </w:rPr>
        <w:t>” means any Delaware LLC which has been formed upon the consummation of a Delaware LLC 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Delaware LLC</w:t>
      </w:r>
      <w:r>
        <w:rPr>
          <w:rFonts w:ascii="Times New Roman;Times;Serif" w:hAnsi="Times New Roman;Times;Serif"/>
          <w:b w:val="false"/>
          <w:i w:val="false"/>
          <w:caps w:val="false"/>
          <w:smallCaps w:val="false"/>
          <w:sz w:val="20"/>
        </w:rPr>
        <w:t>” means any limited liability company organized or formed under the laws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Delaware LLC Division</w:t>
      </w:r>
      <w:r>
        <w:rPr>
          <w:rFonts w:ascii="Times New Roman;Times;Serif" w:hAnsi="Times New Roman;Times;Serif"/>
          <w:b w:val="false"/>
          <w:i w:val="false"/>
          <w:caps w:val="false"/>
          <w:smallCaps w:val="false"/>
          <w:sz w:val="20"/>
        </w:rPr>
        <w:t>” means the statutory division of any Delaware LLC into two or more Delaware LLCs pursuant to Section 18-217 of the Delaware Limited Liability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with respect to the Notes issuable or issued in whole or in part in global form, any Person specified in Section 2.03 hereof as the Depositary with respect to the Notes, and any and all successors thereto appointed as Depositary hereunder and having become such pursuant to the applicable provision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Derivative Instrument</w:t>
      </w:r>
      <w:r>
        <w:rPr>
          <w:rFonts w:ascii="Times New Roman;Times;Serif" w:hAnsi="Times New Roman;Times;Serif"/>
          <w:b w:val="false"/>
          <w:i w:val="false"/>
          <w:caps w:val="false"/>
          <w:smallCaps w:val="false"/>
          <w:sz w:val="20"/>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and/or the creditworthiness of the Issuer and/or any one or more of the Guarantors (the “</w:t>
      </w:r>
      <w:r>
        <w:rPr>
          <w:rFonts w:ascii="Times New Roman;Times;Serif" w:hAnsi="Times New Roman;Times;Serif"/>
          <w:b/>
          <w:i w:val="false"/>
          <w:caps w:val="false"/>
          <w:smallCaps w:val="false"/>
          <w:sz w:val="20"/>
        </w:rPr>
        <w:t>Performance References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Designated Non-cash Consideration</w:t>
      </w:r>
      <w:r>
        <w:rPr>
          <w:rFonts w:ascii="Times New Roman;Times;Serif" w:hAnsi="Times New Roman;Times;Serif"/>
          <w:b w:val="false"/>
          <w:i w:val="false"/>
          <w:caps w:val="false"/>
          <w:smallCaps w:val="false"/>
          <w:sz w:val="20"/>
        </w:rPr>
        <w:t>” means the fair market value of non-cash consideration received by Parent or a Restricted Subsidiary in connection with an Asset Sale that is so designated as Designated Non-cash Consideration pursuant to an Officer’s Certificate, setting forth the basis of such valuation, executed by the principal financial officer of Parent, less the amount of Cash Equivalents received in connection with a subsequent sale, redemption or repurchase of or collection or payment on such Designated Non-cash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Designated Preferred Stock</w:t>
      </w:r>
      <w:r>
        <w:rPr>
          <w:rFonts w:ascii="Times New Roman;Times;Serif" w:hAnsi="Times New Roman;Times;Serif"/>
          <w:b w:val="false"/>
          <w:i w:val="false"/>
          <w:caps w:val="false"/>
          <w:smallCaps w:val="false"/>
          <w:sz w:val="20"/>
        </w:rPr>
        <w:t>” means Preferred Stock of Parent (other than Disqualified Stock) that is issued for cash (other than to a Restricted Subsidiary or an employee stock ownership plan or trust established by Parent or any of its Subsidiaries and other than to the extent the proceeds thereof constitute Excluded Contributions) and is so designated as Designated Preferred Stock, pursuant to an Officer’s Certificate executed by the principal financial officer of Parent on the issuance date thereof, the cash proceeds of which are excluded from the calculation set forth in Section 4.07(a)(B)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Disinterested Director</w:t>
      </w:r>
      <w:r>
        <w:rPr>
          <w:rFonts w:ascii="Times New Roman;Times;Serif" w:hAnsi="Times New Roman;Times;Serif"/>
          <w:b w:val="false"/>
          <w:i w:val="false"/>
          <w:caps w:val="false"/>
          <w:smallCaps w:val="false"/>
          <w:sz w:val="20"/>
        </w:rPr>
        <w:t>” means, with respect to any Affiliate Transaction, a member of the board of directors of Parent having no material direct or indirect financial interest in or with respect to such Affiliate Transaction. A member of the board of directors of Parent shall be deemed not to have such a financial interest by reason of such member’s holding Equity Interests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Disqualified Stock</w:t>
      </w:r>
      <w:r>
        <w:rPr>
          <w:rFonts w:ascii="Times New Roman;Times;Serif" w:hAnsi="Times New Roman;Times;Serif"/>
          <w:b w:val="false"/>
          <w:i w:val="false"/>
          <w:caps w:val="false"/>
          <w:smallCaps w:val="false"/>
          <w:sz w:val="20"/>
        </w:rPr>
        <w:t xml:space="preserve">” means, with respect to any Person, any Capital Stock of such Person which, by its terms, or by the terms of any security into which it is convertible or for which it is putable or exchangeable, or upon the happening of any event, matures or is mandatorily redeemable (other than solely as a result of a change of control or asset sale) pursuant to a sinking fund obligation or otherwise, or is redeemable at the option of the holder thereof (other than solely as a result of a change of control or asset sale), in whole or in part, in each case prior to the date 91 days after the earlier of the maturity date of the Notes or the date the Notes are no longer outstanding;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Capital Stock is issued to any plan for the benefit of employees of Parent or its Subsidiaries or by any such plan to such employees, such Capital Stock shall not constitute Disqualified Stock solely because it may be required to be repurchased by Parent or its Subsidiaries in order to satisfy applicable statutory or regulatory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any Capital Stock held by any future, current or former employee, director, officer, manager or consultant (or their respective Controlled Investment Affiliates or Immediate Family Members), of Parent, any of its Subsidiaries or any other entity in which Parent or a Restricted Subsidiary has an Investment and is designated in good faith as an “</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by the board of directors of Parent (or the compensation committee thereof), in each case pursuant to any stock subscription or shareholders’ agreement, management equity plan or stock option plan or any other management or employee benefit plan or agreement shall not constitute Disqualified Stock solely because it may be required to be repurchased by Parent or its Subsidiaries or in order to satisfy applicable statutory or regulatory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Domestic Subsidiary</w:t>
      </w:r>
      <w:r>
        <w:rPr>
          <w:rFonts w:ascii="Times New Roman;Times;Serif" w:hAnsi="Times New Roman;Times;Serif"/>
          <w:b w:val="false"/>
          <w:i w:val="false"/>
          <w:caps w:val="false"/>
          <w:smallCaps w:val="false"/>
          <w:sz w:val="20"/>
        </w:rPr>
        <w:t>” means, with respect to any Person, any Restricted Subsidiary of such Person other than a Foreign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means The Depository Trust Company or any successor securities clearing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EBITDA</w:t>
      </w:r>
      <w:r>
        <w:rPr>
          <w:rFonts w:ascii="Times New Roman;Times;Serif" w:hAnsi="Times New Roman;Times;Serif"/>
          <w:b w:val="false"/>
          <w:i w:val="false"/>
          <w:caps w:val="false"/>
          <w:smallCaps w:val="false"/>
          <w:sz w:val="20"/>
        </w:rPr>
        <w:t>” means, with respect to any Person for any period, the Consolidated Net Income of such Person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increased (without duplication) by the following, in each case (other than with respect to clauses (i) and (xii)) to the extent deducted (and not added back) in determining Consolidated Net Income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provision for taxes based on income or profits or capital, including, without limitation, federal, state, franchise and similar taxes and foreign withholding taxes (including any future taxes or other levies which replace or are intended to be in lieu of such taxes and any penalties and interest related to such taxes or arising from tax examinations) and the net tax expense associated with any adjustments made pursuant to clauses (a) through (o) of the definition of “Consolidated Net Income”;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Fixed Charges of such Person for such period (including (x) net losses or Hedging Obligations or other derivative instruments entered into for the purpose of hedging interest rate risk, (y) bank fees and other financing fees and (z) costs of surety bonds in connection with financing activities, plus amounts excluded from Consolidated Interest Expense as set forth in clauses (a)(r) through (z) in the definition thereof);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Consolidated Depreciation and Amortization Expense of such Person for such period;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(x) the amount of any restructuring charges or reserves, integration or any one-time costs incurred in connection with acquisitions, dispositions and Investments, project start-up costs, inventory optimization programs or other business optimization expenses and costs related to the closure and/or consolidation of facilities, including severance, retention, singing bonuses, relocation, recruiting and other employee related costs, costs in respect of strategic initiatives and curtailments or modifications to pension and post-retirement employment benefit plans (including any settlement of pension liabilities), costs related to entry into new markets (including unused warehouse space costs) and new product introductions (including labor costs, scrap costs and lower absorption of costs, including due to decreased productivity and greater inefficiencies), systems development and establishment costs, operational and reporting systems, technology initiatives, contract termination costs, future lease commitments and costs related to the opening and closure and/or consolidation of facilities (including severance, rent termination, moving and legal costs) and to exiting lines of business and consulting fees incurred with any of the foregoing and (y) fees, costs and expenses associated with acquisition related litigation and settlement thereof;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other non-cash charges, including any write-offs or write-downs reducing Consolidated Net Income for such period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any such non-cash charges represent an accrual or reserve for potential cash items in any future period, (A) Parent may elect not to add back such non-cash charge in the current period and (B) to the extent Parent elects to add back such non-cash charge, the cash payment in respect thereof in such future period shall be subtracted from EBITDA to such extent, and excluding amortization of a prepaid cash item that was paid in a prior period);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amount of any non-controlling interest or minority interest expense consisting of Subsidiary income attributable to minority equity interests of third parties in any non-Wholly-Owned Subsidiary;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the amount of “run rate” cost savings, operating expense reductions and synergies projected by Parent in good faith to result from actions taken or expected to be taken no later than thirty-six (36) months after the end of such period (calculated on a pro forma basis as though such cost savings, operating expense reductions and synergies had been realized on the first day of such period for which EBITDA is being determined and as if such cost savings, operating expense reductions and synergies were realized during the entirety of such period), net of the amount of actual benefits realized during such period from such actions;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cost savings and synergies are reasonably identifiable and factually supportable (it is understood and agreed that “</w:t>
      </w:r>
      <w:r>
        <w:rPr>
          <w:rFonts w:ascii="Times New Roman;Times;Serif" w:hAnsi="Times New Roman;Times;Serif"/>
          <w:b w:val="false"/>
          <w:i/>
          <w:caps w:val="false"/>
          <w:smallCaps w:val="false"/>
          <w:sz w:val="20"/>
        </w:rPr>
        <w:t>run-rate</w:t>
      </w:r>
      <w:r>
        <w:rPr>
          <w:rFonts w:ascii="Times New Roman;Times;Serif" w:hAnsi="Times New Roman;Times;Serif"/>
          <w:b w:val="false"/>
          <w:i w:val="false"/>
          <w:caps w:val="false"/>
          <w:smallCaps w:val="false"/>
          <w:sz w:val="20"/>
        </w:rPr>
        <w:t xml:space="preserve">” means the full recurring benefit for a period that is associated with any action taken or committed to be taken, net of the amount of actual benefits realized during such period from such actions);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the amount of loss on sale of receivables, Securitization Assets and related assets to any Securitization Subsidiary in connection with a Qualified Securitization Facility;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any costs or expense incurred by Parent or a Restricted Subsidiary pursuant to any management equity plan or stock option plan or any other management or employee benefit plan or agreement or any stock subscription or shareholder agreement, to the extent that such cost or expenses are funded with cash proceeds contributed to the capital of Parent or net cash proceeds of an issuance of Equity Interest of Parent (other than Disqualified Stock) solely to the extent that such net cash proceeds are excluded from the calculation set forth in Section 4.07(a)(B) hereof;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cash receipts (or any netting arrangements resulting in reduced cash expenditures) not representing EBITDA or Consolidated Net Income in any period to the extent non-cash gains relating to such income were deducted in the calculation of EBITDA pursuant to clause (b) below for any previous period and not added back;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any net loss from disposed, abandoned or discontinued operations;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interest income or investment earnings or retiree medical and intellectual property, royalty or license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decreased (without duplication) by the following, in each case to the extent included in determining Consolidated Net Income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non-cash gains increasing Consolidated Net Income of such Person for such period, excluding any non-cash gains to the extent they represent the reversal of an accrual or reserve for a potential cash item that reduced EBITDA in any prior period and any non-cash gains with respect to cash actually received in a prior period so long as such cash did not increase EBITDA in such prior period;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net income from disposed, abandoned or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EMU</w:t>
      </w:r>
      <w:r>
        <w:rPr>
          <w:rFonts w:ascii="Times New Roman;Times;Serif" w:hAnsi="Times New Roman;Times;Serif"/>
          <w:b w:val="false"/>
          <w:i w:val="false"/>
          <w:caps w:val="false"/>
          <w:smallCaps w:val="false"/>
          <w:sz w:val="20"/>
        </w:rPr>
        <w:t>” means economic and monetary union as contemplated in the Treaty on European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Equity Interests</w:t>
      </w:r>
      <w:r>
        <w:rPr>
          <w:rFonts w:ascii="Times New Roman;Times;Serif" w:hAnsi="Times New Roman;Times;Serif"/>
          <w:b w:val="false"/>
          <w:i w:val="false"/>
          <w:caps w:val="false"/>
          <w:smallCaps w:val="false"/>
          <w:sz w:val="20"/>
        </w:rPr>
        <w:t>” means Capital Stock and all warrants, options or other rights to acquire Capital Stock, but excluding any debt security that is convertible into, or exchangeable for,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Equity Offering</w:t>
      </w:r>
      <w:r>
        <w:rPr>
          <w:rFonts w:ascii="Times New Roman;Times;Serif" w:hAnsi="Times New Roman;Times;Serif"/>
          <w:b w:val="false"/>
          <w:i w:val="false"/>
          <w:caps w:val="false"/>
          <w:smallCaps w:val="false"/>
          <w:sz w:val="20"/>
        </w:rPr>
        <w:t>” means any public or private sale or issuance of common stock or Preferred Stock of Parent (excluding Disqualified Stock), other than: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public offerings with respect to Parent’s common stock registered on Form S-4 or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issuances to any Subsidiary of Parent;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such public or private sale or issuance that constitutes an Excluded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euro</w:t>
      </w:r>
      <w:r>
        <w:rPr>
          <w:rFonts w:ascii="Times New Roman;Times;Serif" w:hAnsi="Times New Roman;Times;Serif"/>
          <w:b w:val="false"/>
          <w:i w:val="false"/>
          <w:caps w:val="false"/>
          <w:smallCaps w:val="false"/>
          <w:sz w:val="20"/>
        </w:rPr>
        <w:t>” means the single currency of participating member states of the EMU.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Euroclear</w:t>
      </w:r>
      <w:r>
        <w:rPr>
          <w:rFonts w:ascii="Times New Roman;Times;Serif" w:hAnsi="Times New Roman;Times;Serif"/>
          <w:b w:val="false"/>
          <w:i w:val="false"/>
          <w:caps w:val="false"/>
          <w:smallCaps w:val="false"/>
          <w:sz w:val="20"/>
        </w:rPr>
        <w:t>” means Euroclear Bank S.A./N.V., as operator of the Euroclear system, or any successor securities clearing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Excluded Contribution</w:t>
      </w:r>
      <w:r>
        <w:rPr>
          <w:rFonts w:ascii="Times New Roman;Times;Serif" w:hAnsi="Times New Roman;Times;Serif"/>
          <w:b w:val="false"/>
          <w:i w:val="false"/>
          <w:caps w:val="false"/>
          <w:smallCaps w:val="false"/>
          <w:sz w:val="20"/>
        </w:rPr>
        <w:t>” means net cash proceeds, marketable securities or Qualified Proceeds received by Parent after the Issue Date 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contributions to its common equity capital;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sale (other than to a Subsidiary of Parent or to any management equity plan or stock option plan or any other management or employee benefit plan or agreement of Parent) of Equity Interests (other than Disqualified Stock and Designated Preferred Stock)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designated as Excluded Contributions pursuant to an Officer’s Certificate executed by the principal financial officer of Parent on the date such capital contributions are made or the date such Equity Interests are sold, as the case may be, which are excluded from the calculation set forth in Section 4.07(a)(B)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with respect to any asset or liability, the fair market value of such asset or liability as determined by Parent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Fixed Charge Coverage Ratio</w:t>
      </w:r>
      <w:r>
        <w:rPr>
          <w:rFonts w:ascii="Times New Roman;Times;Serif" w:hAnsi="Times New Roman;Times;Serif"/>
          <w:b w:val="false"/>
          <w:i w:val="false"/>
          <w:caps w:val="false"/>
          <w:smallCaps w:val="false"/>
          <w:sz w:val="20"/>
        </w:rPr>
        <w:t>” means, with respect to any Person for any period, the ratio of EBITDA of such Person for such period to the Fixed Charges of such Person for such period. In the event that Parent or any Restricted Subsidiary incurs, assumes, guarantees, redeems, repays, retires or extinguishes any Indebtedness (other than Indebtedness incurred or repaid under any revolving credit facility in the ordinary course of business for working capital purposes) or issues or redeems Disqualified Stock or Preferred Stock subsequent to the commencement of the period for which the Fixed Charge Coverage Ratio is being calculated but prior to or simultaneously with the event for which the calculation of the Fixed Charge Coverage Ratio is made (the “</w:t>
      </w:r>
      <w:r>
        <w:rPr>
          <w:rFonts w:ascii="Times New Roman;Times;Serif" w:hAnsi="Times New Roman;Times;Serif"/>
          <w:b/>
          <w:i w:val="false"/>
          <w:caps w:val="false"/>
          <w:smallCaps w:val="false"/>
          <w:sz w:val="20"/>
        </w:rPr>
        <w:t>Fixed Charge Coverage Ratio Calculation Date</w:t>
      </w:r>
      <w:r>
        <w:rPr>
          <w:rFonts w:ascii="Times New Roman;Times;Serif" w:hAnsi="Times New Roman;Times;Serif"/>
          <w:b w:val="false"/>
          <w:i w:val="false"/>
          <w:caps w:val="false"/>
          <w:smallCaps w:val="false"/>
          <w:sz w:val="20"/>
        </w:rPr>
        <w:t xml:space="preserve">”), then the Fixed Charge Coverage Ratio shall be calculated giving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to such incurrence, assumption, guarantee, redemption, repayment, retirement or extinguishment of Indebtedness, or such issuance or redemption of Disqualified Stock or Preferred Stock, as if the same had occurred at the beginning of the applicable four-quarter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making the computation referred to above, Investments, acquisitions, dispositions, mergers, consolidations and discontinued operations (as determined in accordance with GAAP) that have been made by Parent or any of its Restricted Subsidiaries during the four-quarter reference period or subsequent to such reference period and on or prior to or simultaneously with the Fixed Charge Coverage Ratio Calculation Date shall be calculated on a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basis assuming that all such Investments, acquisitions, dispositions, mergers, consolidations and discontinued operations (and the change in any associated fixed charge obligations and the change in EBITDA resulting therefrom) had occurred on the first day of the four-quarter reference period. If since the beginning of such period any Person that subsequently became a Restricted Subsidiary or was merged with or into Parent or any of its Restricted Subsidiaries since the beginning of such period shall have made any Investment, acquisition, disposition, merger, consolidation or discontinued operation that would have required adjustment pursuant to this definition, then the Fixed Charge Coverage Ratio shall be calculated giving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thereto for such period as if such Investment, acquisition, disposition, merger, consolidation or discontinued operation had occurred at the beginning of the applicable four-quarter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definition, whenever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effect is to be given to an Investment, acquisition, disposition, merger, consolidation or discontinued operation (including the Transactions), the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calculations shall be made in good faith by a responsible financial or accounting officer of Parent (and may include, for the avoidance of doubt, cost savings, synergies and operating expense reductions resulting from such Investment, acquisition, merger or consolidation (including the Transactions) which is being given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effect that have been or are expected to be realized based on actions taken, committed to be taken or expected in good faith to be taken in connection with an acquisition or disposition within 24 months). If any Indebtedness bears a floating rate of interest and is being given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effect, the interest on such Indebtedness shall be calculated as if the rate in effect on the Fixed Charge Coverage Ratio Calculation Date had been the applicable rate for the entire period (taking into account any Hedging Obligations applicable to such Indebtedness). Interest on a Capitalized Lease Obligation shall be deemed to accrue at an interest rate reasonably determined by a responsible financial or accounting officer of Parent to be the rate of interest implicit in such Capitalized Lease Obligation in accordance with GAAP. For purposes of making the computation referred to above, interest on any Indebtedness under a revolving credit facility computed on a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basis shall be computed based upon the average daily balance of such Indebtedness during the applicable period except as set forth in the first paragraph of this definition.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Parent may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Fixed Charges</w:t>
      </w:r>
      <w:r>
        <w:rPr>
          <w:rFonts w:ascii="Times New Roman;Times;Serif" w:hAnsi="Times New Roman;Times;Serif"/>
          <w:b w:val="false"/>
          <w:i w:val="false"/>
          <w:caps w:val="false"/>
          <w:smallCaps w:val="false"/>
          <w:sz w:val="20"/>
        </w:rPr>
        <w:t>” means, with respect to any Person for any period, the sum of,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Consolidated Interest Expense of such Person paid in cash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cash dividends or other distributions paid (excluding items eliminated in consolidation) on any series of Preferred Stock of such Person and its Restricted Subsidiaries on a consolidated basis during such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cash dividends or other distributions paid (excluding items eliminated in consolidation) on any series of Disqualified Stock of such Person and its Restricted Subsidiaries on a consolidated basis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Subsidiary</w:t>
      </w:r>
      <w:r>
        <w:rPr>
          <w:rFonts w:ascii="Times New Roman;Times;Serif" w:hAnsi="Times New Roman;Times;Serif"/>
          <w:b w:val="false"/>
          <w:i w:val="false"/>
          <w:caps w:val="false"/>
          <w:smallCaps w:val="false"/>
          <w:sz w:val="20"/>
        </w:rPr>
        <w:t>” means, with respect to any Person, any Subsidiary of such Person that is not organized or existing under the laws of the United States, any state thereof, or the District of Columbia, and any Subsidiary of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xml:space="preserve">”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all terms of an accounting or financial nature used in this Indenture shall be construed, and all computations of amounts and ratios referred to in this Indenture shall be made without giving effect to any election under Accounting Standards Codification Topic 825—Financial Instruments, or any successor thereto or comparable accounting principle (including pursuant to the Accounting Standards Codification), to value any Indebtedness of Parent or any Subsidiary at “fair value,” as defined therein and the amount of any Indebtedness under GAAP with respect to Capitalized Lease Obligations shall be determined in accordance with the definition of Capitalized Lease Obligation. At any time after the Issue Date, Parent may elect to apply IFRS accounting principles in lieu of GAAP and, upon any such election, references herein to GAAP shall thereafter be construed to mean IFRS (except as otherwise provided in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election, once made, shall be irrevocable;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any calculation or determination in this Indenture that requires the application of GAAP for periods that include fiscal quarters ended prior to Parent’s election to apply IFRS shall remain as previously calculated or determined in accordance with GAAP; </w:t>
      </w:r>
      <w:r>
        <w:rPr>
          <w:rFonts w:ascii="Times New Roman;Times;Serif" w:hAnsi="Times New Roman;Times;Serif"/>
          <w:b w:val="false"/>
          <w:i/>
          <w:caps w:val="false"/>
          <w:smallCaps w:val="false"/>
          <w:sz w:val="20"/>
        </w:rPr>
        <w:t>provided, further again</w:t>
      </w:r>
      <w:r>
        <w:rPr>
          <w:rFonts w:ascii="Times New Roman;Times;Serif" w:hAnsi="Times New Roman;Times;Serif"/>
          <w:b w:val="false"/>
          <w:i w:val="false"/>
          <w:caps w:val="false"/>
          <w:smallCaps w:val="false"/>
          <w:sz w:val="20"/>
        </w:rPr>
        <w:t>, that Parent may only make such election if it also elects to report any subsequent financial reports required to be made by Parent, including pursuant to Section 13 or Section 15(d) of the Exchange Act and the covenants set forth in Section 4.03 in IFRS. Parent shall give notice of any such election made in accordance with this definition to the Trustee. For the avoidance of doubt, solely making an election (without any other action) referred to in this definition will not be treated as an incurrence of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occurs a change in IFRS or GAAP, as the case may be, following the Issue Date and such change would cause a change in the method of calculation of any standards, terms or measures (including all computations of amounts and ratios) used in this Indenture (an “</w:t>
      </w:r>
      <w:r>
        <w:rPr>
          <w:rFonts w:ascii="Times New Roman;Times;Serif" w:hAnsi="Times New Roman;Times;Serif"/>
          <w:b/>
          <w:i w:val="false"/>
          <w:caps w:val="false"/>
          <w:smallCaps w:val="false"/>
          <w:sz w:val="20"/>
        </w:rPr>
        <w:t>Accounting Change</w:t>
      </w:r>
      <w:r>
        <w:rPr>
          <w:rFonts w:ascii="Times New Roman;Times;Serif" w:hAnsi="Times New Roman;Times;Serif"/>
          <w:b w:val="false"/>
          <w:i w:val="false"/>
          <w:caps w:val="false"/>
          <w:smallCaps w:val="false"/>
          <w:sz w:val="20"/>
        </w:rPr>
        <w:t>”), then Parent may elect that such standards, terms or measures shall be calculated as if such Accounting Change had or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Global Note Legend</w:t>
      </w:r>
      <w:r>
        <w:rPr>
          <w:rFonts w:ascii="Times New Roman;Times;Serif" w:hAnsi="Times New Roman;Times;Serif"/>
          <w:b w:val="false"/>
          <w:i w:val="false"/>
          <w:caps w:val="false"/>
          <w:smallCaps w:val="false"/>
          <w:sz w:val="20"/>
        </w:rPr>
        <w:t>” means the legend set forth in Section 2.06(g)(ii) hereof, which is required to be placed on all Global Notes issued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Global Notes</w:t>
      </w:r>
      <w:r>
        <w:rPr>
          <w:rFonts w:ascii="Times New Roman;Times;Serif" w:hAnsi="Times New Roman;Times;Serif"/>
          <w:b w:val="false"/>
          <w:i w:val="false"/>
          <w:caps w:val="false"/>
          <w:smallCaps w:val="false"/>
          <w:sz w:val="20"/>
        </w:rPr>
        <w:t>” means, individually and collectively, each of the Restricted Global Notes and the Unrestricted Global Notes, substantially in the form of Exhibit A, issued in accordance with Section 2.01, 2.06(b) or 2.06(d)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xml:space="preserve">” means a guarantee (other than (i) by endorsement of negotiable instruments for collection in the ordinary course of business or (ii) standard contractual indemnities or product warranties provided in the ordinary course of business), direct or indirect, in any manner (including letters of credit and reimbursement agreements in respect thereof), of all or any part of any Indebtedness;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amount of any guarantee shall be deemed to be the lower of (i) an amount equal to the stated or determinable amount of the primary obligation in respect of which such guarantee is made and (ii) the maximum amount for which such guaranteeing Person may be liable pursuant to the terms of the instrument embodying such guarantee or, if such guarantee is not an unconditional guarantee of the entire amount of the primary obligation and such maximum amount is not stated or determinable, the amount of such guaranteeing Person’s maximum reasonably anticipated liability in respect thereof as determined by such Person in good faith. The term “guarantee” used as a verb has a corresponding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means the guarantee by any Guarantor of the Issuer’s Obligations under this Indenture and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means Parent and each Subsidiary of Parent, if any, that Guarantees the Notes in accordance with the terms of this Indenture. On the Issue Date, Parent and each Restricted Subsidiary that guarantees any Indebtedness of the Issuer under the Senior Secured Credit Facilities will be a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Hedging Obligations</w:t>
      </w:r>
      <w:r>
        <w:rPr>
          <w:rFonts w:ascii="Times New Roman;Times;Serif" w:hAnsi="Times New Roman;Times;Serif"/>
          <w:b w:val="false"/>
          <w:i w:val="false"/>
          <w:caps w:val="false"/>
          <w:smallCaps w:val="false"/>
          <w:sz w:val="20"/>
        </w:rPr>
        <w:t>” means, with respect to any Person, the obligations of such Person under any interest rate swap agreement, interest rate cap agreement, interest rate collar agreement, commodity swap agreement, commodity cap agreement, commodity collar agreement, foreign exchange contract, currency swap agreement or similar agreement providing for the transfer or mitigation of interest rate, currency or commodity risks either generally or under specific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the Person in whose name a Note is registered on the Registrar’s books.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Immaterial Subsidiary</w:t>
      </w:r>
      <w:r>
        <w:rPr>
          <w:rFonts w:ascii="Times New Roman;Times;Serif" w:hAnsi="Times New Roman;Times;Serif"/>
          <w:b w:val="false"/>
          <w:i w:val="false"/>
          <w:caps w:val="false"/>
          <w:smallCaps w:val="false"/>
          <w:sz w:val="20"/>
        </w:rPr>
        <w:t>” means, at any date of determination, each Restricted Subsidiary of Parent that (i) has not guaranteed any other Indebtedness of Parent and (ii) has Total Assets and revenues of less than 5.0% and, together with all other Immaterial Subsidiaries as a consolidated group has Total Assets and revenues of less than 10.0%, of Parent’s consolidated Total Assets and revenues, in each case, measured at the end of the most recent fiscal period for which consolidated financial statements are available (which may be internal consolidated financial statements) on a pro forma basis giving effect to any acquisitions or dispositions of companies, division or lines of business since such balance sheet date or the start of such four quarter period,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Immediate Family Members</w:t>
      </w:r>
      <w:r>
        <w:rPr>
          <w:rFonts w:ascii="Times New Roman;Times;Serif" w:hAnsi="Times New Roman;Times;Serif"/>
          <w:b w:val="false"/>
          <w:i w:val="false"/>
          <w:caps w:val="false"/>
          <w:smallCaps w:val="false"/>
          <w:sz w:val="20"/>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with respect to any Person,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indebtedness (including principal and premium) of such Person, whether or not contingent: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respect of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evidenced by bonds, notes, debentures or similar instruments or letters of credit or bankers’ acceptances (or, without duplication, reimbursement agreements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representing the balance deferred and unpaid of the purchase price of any property (including Capitalized Lease Obligations), except (i) any such balance that constitutes an obligation in respect of a commercial letter of credit, a trade payable or similar obligation to a trade creditor, in each case accrued in the ordinary course of business and (ii) any earn-out obligations until such obligation becomes a liability on the balance sheet of such Person in accordance with GAAP and not paid after becoming due and payable;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representing the net obligations under any Hedging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to the extent that any of the foregoing Indebtedness (other than letters of credit and Hedging Obligations) would appear as a liability upon a balance sheet (excluding the footnotes thereto) of such Person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not otherwise included, any obligation by such Person to be liable for, or to pay, as obligor, guarantor or otherwise, on the obligations of the type referred to in clause (a) of a third Person (whether or not such items would appear upon the balance sheet of the such obligor or guarantor), other than by endorsement of negotiable instruments for collection in the ordinary course of business;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not otherwise included, the obligations of the type referred to in clause (a) of a third Person secured by a Lien on any asset owned by such first Person, whether or not such Indebtedness is assumed by such first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Indebtedness shall be deemed not to include (a) Contingent Obligations incurred in the ordinary course of business or consistent with past practice, (b) Cash Management Services, (c) in connection with the purchase by the Issuer or any Restricted Subsidiary of any business, any post-closing payment adjustments to which the seller may become entitled to the extent such payment is determined by a final closing balance sheet or such payment depends on the performance of such business after the closing;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at the time of closing, the amount of any such payment is not determinable and, to the extent such payment thereafter becomes fixed and determined, the amount is paid in a timely manner, (d) for the avoidance of doubt, any obligations in respect of workers’ compensation claims, early retirement or termination obligations, pension fund obligations or contributions or similar claims, obligations or contributions or social security or wage Taxes, (e) Capital Stock (other than Disqualified Stock), (f) obligations under or in respect of Qualified Securitization Facilities, (g) obligations under any license, permit or other approval (or guarantees given in respect of such obligations) incurred prior to the Issue Date or in the ordinary course of business or consistent with past practice, (h) Indebtedness of any parent entity appearing on the balance sheet of Parent solely by reason of push down accounting under GAAP or (i) amounts owed to dissenting stockholders in connection with, or as a result of, their exercise of appraisal rights and the settlement of any claims or action (whether actual, contingent or potential) with respect thereto (including any accrued interest);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Indebtedness shall be calculated without giving effect to the effects of Financial Accounting Standards Board Accounting Standards Codification 815 and related interpretations to the extent such effects would otherwise increase or decrease an amount of Indebtedness for any purpose under this Indenture as a result of accounting for any embedded derivatives created by the terms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“Indebtedness” shall include any lease, concession or license of property (or guarantee thereof) which would be considered an operating lease under GAAP as in effect immediately prior to the effectiveness of the Accounting Standards Codification 842 (unless the Issuer shall so elect otherwise), any prepayments of deposits received from clients or customers in the ordinary course of business or consistent with past practice, or obligations under any license, permit or other approval (or guarantees given in respect of such obligations) Incurred prior to the Issue Date or in the ordinary course of business or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Indenture, as amended,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Independent Financial Advisor</w:t>
      </w:r>
      <w:r>
        <w:rPr>
          <w:rFonts w:ascii="Times New Roman;Times;Serif" w:hAnsi="Times New Roman;Times;Serif"/>
          <w:b w:val="false"/>
          <w:i w:val="false"/>
          <w:caps w:val="false"/>
          <w:smallCaps w:val="false"/>
          <w:sz w:val="20"/>
        </w:rPr>
        <w:t>” means an accounting, appraisal or investment banking firm or consultant to Persons engaged in Similar Businesses of nationally recognized standing that is, in the good faith judgment of Parent, qualified to perform the task for which it has been engaged.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Indirect Participant</w:t>
      </w:r>
      <w:r>
        <w:rPr>
          <w:rFonts w:ascii="Times New Roman;Times;Serif" w:hAnsi="Times New Roman;Times;Serif"/>
          <w:b w:val="false"/>
          <w:i w:val="false"/>
          <w:caps w:val="false"/>
          <w:smallCaps w:val="false"/>
          <w:sz w:val="20"/>
        </w:rPr>
        <w:t>” means a Person who holds a beneficial interest in a Global Note through a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Initial Notes</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Purchasers</w:t>
      </w:r>
      <w:r>
        <w:rPr>
          <w:rFonts w:ascii="Times New Roman;Times;Serif" w:hAnsi="Times New Roman;Times;Serif"/>
          <w:b w:val="false"/>
          <w:i w:val="false"/>
          <w:caps w:val="false"/>
          <w:smallCaps w:val="false"/>
          <w:sz w:val="20"/>
        </w:rPr>
        <w:t>” means Citigroup Global Markets Inc., Morgan Stanley &amp; Co. LLC, Barclays Capital Inc., RBC Capital Markets, LLC, Goldman Sachs &amp; Co. LLC and J.P. Morgan Securities, LLC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means January 15 and July 15 of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Investment Grade Rating</w:t>
      </w:r>
      <w:r>
        <w:rPr>
          <w:rFonts w:ascii="Times New Roman;Times;Serif" w:hAnsi="Times New Roman;Times;Serif"/>
          <w:b w:val="false"/>
          <w:i w:val="false"/>
          <w:caps w:val="false"/>
          <w:smallCaps w:val="false"/>
          <w:sz w:val="20"/>
        </w:rPr>
        <w:t>” means a rating equal to or higher than Baa3 (or the equivalent) by Moody’s and BBB- (or the equivalent) by S&amp;P, or if the applicable securities are not then rated by Moody’s or S&amp;P an equivalent rating by any other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Investment Grade Securities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securities issued or directly and fully guaranteed or insured by the United States government or any agency or instrumentality thereof (other than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debt securities or debt instruments with an Investment Grade Rating, but excluding any debt securities or instruments constituting loans or advances among Parent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investments in any fund that invests exclusively in investments of the type described in clauses (a) and (b) which fund may also hold immaterial amounts of cash pending investment or distribution;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corresponding instruments in countries other than the United States customarily utilized for high quality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Investments</w:t>
      </w:r>
      <w:r>
        <w:rPr>
          <w:rFonts w:ascii="Times New Roman;Times;Serif" w:hAnsi="Times New Roman;Times;Serif"/>
          <w:b w:val="false"/>
          <w:i w:val="false"/>
          <w:caps w:val="false"/>
          <w:smallCaps w:val="false"/>
          <w:sz w:val="20"/>
        </w:rPr>
        <w:t xml:space="preserve">” means, with respect to any Person, all investments by such Person in other Persons (including Affiliates) in the form of loans (including guarantees), advances or capital contributions (excluding accounts receivable, trade credit, advances to customers, commission, travel and similar advances to employees, directors, officers, managers and consultants, in each case made in the ordinary course of business), purchases or other acquisitions for consideration of Indebtedness, Equity Interests or other securities issued by any other Person and investments that are required by GAAP to be classified on the balance sheet (excluding the footnotes) of Parent in the same manner as the other investments included in this definition to the extent such transactions involve the transfer of cash or other property;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endorsements of negotiable instruments and documents in the ordinary course of business or consistent with past practice will not be deemed to be an Investment. For purposes of the definition of “Unrestricted Subsidiary” and Section 4.07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“Investments” shall include the portion (proportionate to Parent’s equity interest in such Subsidiary) of the fair market value of the net assets of a Subsidiary of Parent at the time that such Subsidiary is designated an Unrestricted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upon a redesignation of such Subsidiary as a Restricted Subsidiary, Parent shall be deemed to continue to have a permanent “Investment” in an Unrestricted Subsidiary in an amount (if positive) equal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Parent’s “Investment” in such Subsidiary at the time of such redesignation;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portion (proportionate to Parent’s Equity Interest in such Subsidiary) of the fair market value of the net assets of such Subsidiary at the time of such redesignation;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property transferred to or from an Unrestricted Subsidiary shall be valued at its fair market value at the time of such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Investment outstanding at any time shall be the original cost of such Investment, reduced by any dividend, distribution, interest payment, return of capital, repayment or other amount received in cash by Parent or a Restricted Subsidiary in respect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Issue Date</w:t>
      </w:r>
      <w:r>
        <w:rPr>
          <w:rFonts w:ascii="Times New Roman;Times;Serif" w:hAnsi="Times New Roman;Times;Serif"/>
          <w:b w:val="false"/>
          <w:i w:val="false"/>
          <w:caps w:val="false"/>
          <w:smallCaps w:val="false"/>
          <w:sz w:val="20"/>
        </w:rPr>
        <w:t>” means July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means Prestige Brands, Inc., a Delaware corporation,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Issuer’s Order</w:t>
      </w:r>
      <w:r>
        <w:rPr>
          <w:rFonts w:ascii="Times New Roman;Times;Serif" w:hAnsi="Times New Roman;Times;Serif"/>
          <w:b w:val="false"/>
          <w:i w:val="false"/>
          <w:caps w:val="false"/>
          <w:smallCaps w:val="false"/>
          <w:sz w:val="20"/>
        </w:rPr>
        <w:t>” means a written request or order signed on behalf of the Issuer by an Officer of the Issuer, who must be the principal executive officer, the principal financial officer, the treasurer, the secretary or the principal accounting officer of the Issuer,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Legal Holiday</w:t>
      </w:r>
      <w:r>
        <w:rPr>
          <w:rFonts w:ascii="Times New Roman;Times;Serif" w:hAnsi="Times New Roman;Times;Serif"/>
          <w:b w:val="false"/>
          <w:i w:val="false"/>
          <w:caps w:val="false"/>
          <w:smallCaps w:val="false"/>
          <w:sz w:val="20"/>
        </w:rPr>
        <w:t>” means a Saturday, a Sunday or a day on which commercial banking institutions are not required to be open in the State of New York or at the place of payment. If a payment date is on a Legal Holiday, payment will be made on the next succeeding day that is not a Legal Holiday and no interest shall accrue for the intervening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xml:space="preserve">” means, with respect to any asset, any mortgage, lien (statutory or otherwise),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no event shall an operating lease be deemed to constitute a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Long Derivative Instrument</w:t>
      </w:r>
      <w:r>
        <w:rPr>
          <w:rFonts w:ascii="Times New Roman;Times;Serif" w:hAnsi="Times New Roman;Times;Serif"/>
          <w:b w:val="false"/>
          <w:i w:val="false"/>
          <w:caps w:val="false"/>
          <w:smallCaps w:val="false"/>
          <w:sz w:val="20"/>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LTM EBITDA</w:t>
      </w:r>
      <w:r>
        <w:rPr>
          <w:rFonts w:ascii="Times New Roman;Times;Serif" w:hAnsi="Times New Roman;Times;Serif"/>
          <w:b w:val="false"/>
          <w:i w:val="false"/>
          <w:caps w:val="false"/>
          <w:smallCaps w:val="false"/>
          <w:sz w:val="20"/>
        </w:rPr>
        <w:t>” means EBITDA of Parent measured for the period of the most recent four consecutive fiscal quarters ending prior to the date of such determination for which consolidated financial statements are available (which may be internal financial statements), in each case with such pro forma adjustments giving effect to such Investments, acquisitions, dispositions, mergers, consolidations and discontinued operations, as applicable, since the start of such four quarter period and as are consistent with the pro forma adjustments set forth in the definition of “Fixed Charge Coverage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Management Advances</w:t>
      </w:r>
      <w:r>
        <w:rPr>
          <w:rFonts w:ascii="Times New Roman;Times;Serif" w:hAnsi="Times New Roman;Times;Serif"/>
          <w:b w:val="false"/>
          <w:i w:val="false"/>
          <w:caps w:val="false"/>
          <w:smallCaps w:val="false"/>
          <w:sz w:val="20"/>
        </w:rPr>
        <w:t>” means loans or advances made to, or Guarantees with respect to loans or advances made to, future, present or former employees, directors, officers, managers, contractors, consultants or advisers (or their respective Controlled Investment Affiliates or Immediate Family Members) of Parent or any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in respect of travel, entertainment, relocation or moving related expenses, payroll advances and other analogous or similar expenses or payroll expenses, in each case, Incurred in the ordinary course of business or consistent with past practice or (b) for purposes of funding any such person’s purchase of Equity Interests (or similar obligations) of Parent or its Subsidiaries with (in the case of this sub-clause (b)) the approval of the board of directors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respect of relocation or moving related expenses, payroll advances and other analogous or similar expenses or payroll expenses, in each case Incurred in connection with any closing or consolidation of any facility or office;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not exceeding the greater of $25.0 million and 5.0% of LTM EBITDA in the aggregate outstanding at the time of incurrence.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Market Capitalization</w:t>
      </w:r>
      <w:r>
        <w:rPr>
          <w:rFonts w:ascii="Times New Roman;Times;Serif" w:hAnsi="Times New Roman;Times;Serif"/>
          <w:b w:val="false"/>
          <w:i w:val="false"/>
          <w:caps w:val="false"/>
          <w:smallCaps w:val="false"/>
          <w:sz w:val="20"/>
        </w:rPr>
        <w:t>” means an amount equal to (i) the total number of issued and outstanding shares of common Capital Stock of Parent on the date of the declaration of a Restricted Payment permitted pursuant to Section 4.07(b)(xvii) hereof multiplied by (ii) the arithmetic mean of the closing prices per share of such common Capital Stock on the principal securities exchange on which such common Capital Stock are traded for the 30 consecutive trading days immediately preceding the date of declaration of such Restricted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means Moody’s Investors Service, Inc. and any successor to its rating agency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Net Income</w:t>
      </w:r>
      <w:r>
        <w:rPr>
          <w:rFonts w:ascii="Times New Roman;Times;Serif" w:hAnsi="Times New Roman;Times;Serif"/>
          <w:b w:val="false"/>
          <w:i w:val="false"/>
          <w:caps w:val="false"/>
          <w:smallCaps w:val="false"/>
          <w:sz w:val="20"/>
        </w:rPr>
        <w:t>” means, with respect to any Person, the net income (loss) of such Person, determined in accordance with GAAP and before any reduction in respect of Preferred Stock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Net Proceeds</w:t>
      </w:r>
      <w:r>
        <w:rPr>
          <w:rFonts w:ascii="Times New Roman;Times;Serif" w:hAnsi="Times New Roman;Times;Serif"/>
          <w:b w:val="false"/>
          <w:i w:val="false"/>
          <w:caps w:val="false"/>
          <w:smallCaps w:val="false"/>
          <w:sz w:val="20"/>
        </w:rPr>
        <w:t>” means the aggregate cash proceeds received by Parent, Issuer or any Guarantor in respect of any Asset Sale, including any cash received upon the sale or other disposition of any Designated Non-cash Consideration received in any Asset Sale, net of the direct costs relating to such Asset Sale and the sale or disposition of such Designated Non-cash Consideration, including legal, accounting and investment banking fees, payments made in order to obtain a necessary consent or required by applicable law, and brokerage and sales commissions, any relocation expenses incurred as a result thereof, other fees and expenses, including title and recordation expenses, taxes paid or payable as a result thereof or any transactions occurring or deemed to occur to effectuate a payment under this Indenture (after taking into account any available tax credits or deductions and any tax sharing arrangements), amounts required to be applied to the repayment of principal, premium, if any, and interest on Senior Indebtedness or amounts required to be applied to the repayment of Indebtedness secured by a Lien on such assets and required (other than required by Section 4.10(b)(i) hereof) to be paid as a result of such transaction and any deduction of appropriate amounts to be provided by Parent, Issuer or such Guarantor as a reserve in accordance with GAAP against any liabilities associated with the asset disposed of in such transaction and retained by Parent, Issuer or such Guarantor after such sale or other disposition thereof, including pension and other post-employment benefit liabilities and liabilities related to environmental matters or against any indemnification obligations associated with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Short</w:t>
      </w:r>
      <w:r>
        <w:rPr>
          <w:rFonts w:ascii="Times New Roman;Times;Serif" w:hAnsi="Times New Roman;Times;Serif"/>
          <w:b w:val="false"/>
          <w:i w:val="false"/>
          <w:caps w:val="false"/>
          <w:smallCaps w:val="false"/>
          <w:sz w:val="20"/>
        </w:rPr>
        <w:t>” means, with respect to a Holder or beneficial owner, as of a date of determination, either (i) the value of its Short Derivative Instruments exceeds the sum of the (x) the value of its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the Issuer or any Guarantor immediately prior to such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Non-U.S. Person</w:t>
      </w:r>
      <w:r>
        <w:rPr>
          <w:rFonts w:ascii="Times New Roman;Times;Serif" w:hAnsi="Times New Roman;Times;Serif"/>
          <w:b w:val="false"/>
          <w:i w:val="false"/>
          <w:caps w:val="false"/>
          <w:smallCaps w:val="false"/>
          <w:sz w:val="20"/>
        </w:rPr>
        <w:t>” means a Person who is not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means the Initial Notes and more particularly means any Note authenticated and delivered under this Indenture. Unless the context requires otherwise, all references to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for all purposes of this Indenture shall include any Additional Notes that are actually issued. The Initial Notes and any Additional Notes subsequently issued under this Indenture will be treated as a single class for all purposes under this Indenture, including waivers, amendments, redemptions and offers to purchase, except for certain waivers and amendments as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 xml:space="preserve">” means any principal, interest (including any interest accruing on or subsequent to the filing of a petition in bankruptcy, reorganization or similar proceeding at the rate provided for in the documentation with respect thereto, whether or not such interest is an allowed claim under applicable state, federal or foreign law), premium, penalties, fees, indemnifications, reimbursements (including reimbursement obligations with respect to letters of credit and banker’s acceptances), damages and other liabilities, and guarantees of payment of such principal, interest, penalties, fees, indemnifications, reimbursements, damages and other liabilities, payable under the documentation governing any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of the foregoing (other than principal and interest) shall no longer constitute “Obligations” after payment in full of such principal and interest except to the extent such obligations are fully liquidated and non-contingent on or prior to such payment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Offering Memorandum</w:t>
      </w:r>
      <w:r>
        <w:rPr>
          <w:rFonts w:ascii="Times New Roman;Times;Serif" w:hAnsi="Times New Roman;Times;Serif"/>
          <w:b w:val="false"/>
          <w:i w:val="false"/>
          <w:caps w:val="false"/>
          <w:smallCaps w:val="false"/>
          <w:sz w:val="20"/>
        </w:rPr>
        <w:t>” means the offering memorandum, dated June 30, 2026, relating to the sale of the Initial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(1) the Chairman of the board of directors, the Chief Executive Officer, the Chief Financial Officer, the President, any Executive Vice President, Senior Vice President or Vice President, the Treasurer or the Secretary of Parent or the Issuer, as applicable or (2) any other individual designated as an “Officer” for the purposes of this Indenture by the board of directors, Chief Executive Officer or Chief Financial Officer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on behalf of a Person by an Officer of such Person that meets the requirements set forth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 written opinion from legal counsel who is reasonably acceptable to the Trustee. The counsel may be an employee of or counsel to Parent or the Trustee that meets the requirements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means Prestige Consumer Healthcare Inc.,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means, with respect to the Depositary, a Person who has an account with the Depositary (and, with respect to DTC, shall include Euroclear and Clearstream).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Asset Swap</w:t>
      </w:r>
      <w:r>
        <w:rPr>
          <w:rFonts w:ascii="Times New Roman;Times;Serif" w:hAnsi="Times New Roman;Times;Serif"/>
          <w:b w:val="false"/>
          <w:i w:val="false"/>
          <w:caps w:val="false"/>
          <w:smallCaps w:val="false"/>
          <w:sz w:val="20"/>
        </w:rPr>
        <w:t xml:space="preserve">” means the substantially concurrent purchase and sale or exchange of Related Business Assets or a combination of Related Business Assets and Cash Equivalents between Parent or any of its Restricted Subsidiaries and another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Cash Equivalents received must be applied in accordance with Section 4.10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Investments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Investment in Parent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Investment in Cash Equivalents or Investment Grade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Investment by Parent or any of its Restricted Subsidiaries in a Person (including, to the extent constituting an Investment, in assets of a Person that represent substantially all of its assets or a division, business unit or product line, including research and development and related assets in respect of any product) that is engaged directly or through entities that will be Restricted Subsidiaries in a Similar Business if as a result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Person becomes a Restricted Subsidiary;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Person, in one transaction or a series of related transactions, merged or consolidated with or into, or transfers or conveys substantially all of its assets (or such division, business unit or product line), or is liquidated into, Parent or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in respect to this clause (c), any Investment held by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Investment was not acquired by such Person in contemplation of such acquisition, merger, consolidation or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Investment in securities or other assets not constituting Cash Equivalents or Investment Grade Securities and received in connection with an Asset Sale made pursuant to Section 4.10 hereof or any other disposition of assets not constituting an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Investment existing on the Issue Date or made pursuant to binding commitments in effect on the Issue Date or an Investment consisting of any extension, modification or renewal of any such Investment or binding commitment existing on the Issue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amount of any such Investment may be increased in such extension, modification or renewal only (i) as required by the terms of such Investment or binding commitment as in existence on the Issue Date (including as a result of the accrual or accretion of interest or original issue discount or the issuance of pay-in-kind securities) or (ii) as otherwise permitted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Investment acquired by Parent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consisting of extensions of credit in the nature of accounts receivable or notes receivable arising from the grant of trade credit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exchange for any other Investment or accounts receivable, endorsements for collection or deposit held by Parent or any such Restricted Subsidiary in connection with or as a result of a bankruptcy, workout, reorganization or recapitalization of the issuer of such other Investment or accounts receivable (including any trade creditor or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satisfaction of judgments against other Persons;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a result of a foreclosure by Parent or any of its Restricted Subsidiaries with respect to any secured Investment or other transfer of title with respect to any secured Investment in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Hedging Obligations permitted under Section 4.09(b)(x)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any Investment in a Similar Business taken together with all other Investments made pursuant to this clause (h) that are at that time outstanding not to exceed the greater of (i) $142.5 million and (ii) 30.0% of LTM EBITDA (in each case, determined on the date such Investment is made,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for purposes of Section 4.07 hereof of any amounts applied pursuant to Section 4.07(a)(B) hereof) with the fair market value of each Investment being measured at the time made and without giving effect to subsequent changes in value;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any Investment pursuant to this clause is made in any Person that is not Parent or a Restricted Subsidiary at the date of the making of such Investment and such Person becomes Parent or a Restricted Subsidiary after such date, such Investment shall thereafter be deemed to have been made pursuant to clause (a) above and shall cease to have been made pursuant to this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Investments the payment for which consists of Equity Interests (other than Disqualified Stock) of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Equity Interests will not increase the amount available for Restricted Payments under Section 4.07(a)(B)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guarantees of Indebtedness permitted under Section 4.09 hereof, performance guarantees and Contingent Obligations incurred in the ordinary course of business and the creation of liens on the assets of Parent or any Restricted Subsidiary in compliance with Section 4.12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transaction to the extent it constitutes an Investment that is permitted by and made in accordance with the provisions of Section 4.11(b) hereof (except transactions described in clauses (ii), (v) and (ix) of Section 4.11(b)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Investments consisting of purchases or other acquisitions of inventory, supplies, material or equipment or the licensing or contribution of intellectual property pursuant to joint marketing arrangements with other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Investments having an aggregate fair market value, taken together with all other Investments made pursuant to this clause (m) that are at that time outstanding (without giving effect to the sale of an Unrestricted Subsidiary to the extent the proceeds of such sale do not consist of cash or marketable securities), not to exceed the greater of (i) $237.5 million and (ii) 50.0% of LTM EBITDA (in each case, determined on the date such Investment is made,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for purposes of Section 4.07 hereof of any amounts applied pursuant to Section 4.07(a)(iii) hereof) with the fair market value of each Investment being measured at the time made and without giving effect to subsequent changes in value;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any Investment pursuant to this clause is made in any Person that is not Parent or a Restricted Subsidiary at the date of the making of such Investment and such Person becomes Parent or a Restricted Subsidiary after such date, such Investment shall thereafter be deemed to have been made pursuant to clause (a) above and shall cease to have been made pursuant to this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Investments in or relating to a Securitization Subsidiary that, in the good faith determination of Parent are necessary or advisable to effect any Qualified Securitization Facility or any repurchase obligation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advances to, or guarantees of Indebtedness of, employees not in excess of $27.5 million outstanding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Investments in payroll, travel, entertainment, relocation and similar advances that are made in the ordinary course of business or consistent with past practice, and Management Advances;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advances, loans or extensions of trade credit in the ordinary course of business by Parent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any Investment in any Subsidiary or any joint venture in connection with intercompany cash management arrangements or related activities arising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Investments consisting of (a) purchases and acquisitions of assets or services in the ordinary course of business or consistent with past practice or (b) advances, loans, extensions of credit (including the creation of receivables) or prepayments made to, and guarantees with respect to obligations of, franchisees, distributors, suppliers, lessors, licensors and licensees in the ordinary course of business or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Investments in prepaid expenses, negotiable instruments held for collection and lease, utility and workers compensation, performance and similar deposits entered into as a result of the operations of the business in the ordinary course of business or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repurchases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Investments in the ordinary course of business consisting of Uniform Commercial Code Article 3 endorsements for collection of deposit and Article 4 customary trade arrangements with customers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Investments consisting of promissory notes issued by the Issuer or any Guarantor to future, present or former officers, directors and employees, members of management or consultants of Parent or any of its Subsidiaries or their respective estates, spouses or former spouses to finance the purchase or redemption of Equity Interests of Parent, to the extent the applicable Restricted Payment is permitted by Section 4.07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Investments consisting of earnest money deposits required in connection with a purchase agreement, or letter of intent, or other acquisitions to the extent not otherwise prohibited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contributions to a “rabbi” trust for the benefit of employees or other grantor trust subject to claims of creditors in the case of a bankruptcy of the Issuer;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any other Investment so long as, immediately after giving pro forma effect to the Investment and the incurrence of any Indebtedness the net proceeds of which are used to make such Investment, the Consolidated Leverage Ratio shall be no greater than 4.75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 with respect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pledges, deposits or security by such Person under workmen’s compensation laws, unemployment insurance, employers’ health tax, and other social security laws or similar legislation or other insurance- related obligations (including, but not limited to, in respect of deductibles, self-insured retention amounts and premiums and adjustments thereto) or indemnification obligations of (including obligations in respect of letters of credit or bank guarantees for the benefit of) insurance carriers providing property, casualty or liability insurance,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or customs duties or for the payment of rent, or other obligations of like nature, in each case incurred in the ordinary course of business or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imposed by law, such as landlords’, carriers’, warehousemen’s, materialmen’s, repairmen’s and mechanics’ Liens, in each case for sums not yet overdue for a period of more than 60 days or being contested in good faith by appropriate actions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Liens for taxes, assessments or other governmental charges not yet overdue for a period of more than 60 days or not yet payable or subject to penalties for nonpayment or which are being contested in good faith by appropriate actions diligently conducted, if adequate reserves with respect thereto are maintained on the books of such Person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Liens in favor of issuers of performance, surety, bid, indemnity, warranty, release, appeal or similar bonds or with respect to other regulatory requirements or letters of credit or bankers acceptances issued, and completion guarantees provided for, in each case, issued pursuant to the request of and for the account of such Person in the ordinary course of its business or consistent with past practice prior to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minor survey exceptions, minor encumbrances, ground leases, easements or reservations of, or rights of others for, licenses, rights-of-way, servitudes, sewers, electric lines, drains, telegraph, telephone and cable television lines and other similar purposes, or zoning, building codes or other restrictions (including minor defects and irregularities in title and similar encumbrances)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 and exceptions on title policies insuring liens granted on Mortgaged Properties (as defined in the Senior Secured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Liens securing Obligations relating to any Indebtedness permitted to be incurred pursuant to clause (iv), (xii)(B) or (xiii) of Section 4.09(b)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 Liens securing Obligations relating to any Indebtedness, Disqualified Stock or Preferred Stock permitted to be incurred pursuant to clause (xiii) relate only to Obligations relating to Refinancing Indebtedness that (x) is secured by Liens on the same assets as the assets securing the Refinancing Indebtedness or (y) extends, replaces, refunds, refinances, renews or defeases Indebtedness incurred or Disqualified Stock or Preferred Stock issued under clause (iii), (iv), (x), (xii) or (xiii) of Section 4.09(b) hereof, and (b) Liens securing Obligations relating to any Indebtedness, Disqualified Stock or Preferred Stock to be incurred pursuant to Section 4.09(b)(iv) hereof extend only to the assets so purchased, leased or improved;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Liens existing on the Issue Date (including to secure any Refinancing Indebtedness of any Indebtedness secured by such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Liens on property or shares of stock or other assets of a Person at the time such Person becomes a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Liens are not created or incurred in connection with, or in contemplation of, such other Person becoming such a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such Liens may not extend to any other property or other assets owned by Parent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Liens on property or other assets at the time Parent or a Restricted Subsidiary acquired the property or such other assets, including any acquisition by means of a merger, amalgamation or consolidation with or into Parent or any of its Restricted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Liens are not created or incurred in connection with, or in contemplation of, such acquisition, merger or consolidation;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Liens may not extend to any other property owned by Parent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Liens securing Obligations relating to any Indebtedness or other obligations of a Restricted Subsidiary owing to Parent or another Restricted Subsidiary permitted to be incurred in accordance with Section 4.09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Liens securing (x) Hedging Obligations and (y) obligations in respect of Bank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on specific items of inventory or other goods and proceeds of any Person securing such Person’s accounts payable or similar trade obligations in respect of bankers’ acceptances or trade letters of credit issued or created for the account of such Person to facilitate the purchase, shipment or storage of such inventory or other goods;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leases, sub-leases, licenses or sub-licenses granted to others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Liens arising from Uniform Commercial Code (or equivalent statute) financing statement filings regarding operating leases or consignments entered into by Parent and its Restricted Subsidiaries in the ordinary course of business or purported Liens evidenced by the filing of precautionary Uniform Commercial Code financing statements or similar public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Liens in favor of the Issuer or any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Liens on equipment of Parent or any of its Restricted Subsidiaries granted in the ordinary course of business to Parent’s or any Restricted Subsidiary’s clients or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Liens on accounts receivable, Securitization Assets and related assets incurred in connection with a Qualified Securitization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Liens to secure any modification, refinancing, refunding, extension, renewal or replacement (or successive refinancing, refunding, extensions, renewals or replacements) as a whole, or in part, of any Indebtedness secured by any Lien referred to in the foregoing clauses (f), (g), (h) and (i);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 such new Lien shall be limited to all or part of the same property that secured the original Lien (plus improvements on such property) and proceeds and products thereof, and (ii) the Indebtedness secured by such Lien at such time is not increased to any amount greater than the sum of (A) the outstanding principal amount or, if greater, committed amount of the Indebtedness described under clauses (f), (g), (h) and (i) at the time the original Lien became a Permitted Lien under this Indenture, and (B) an amount necessary to pay any fees and expenses (including original issue discount, upfront fees or similar fees) and premiums (including tender premiums and accrued and unpaid interest), related to such modification, refinancing, refunding, extension, renewal or replacement;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deposits made or other security provided in the ordinary course of business to secure liability to insurance carriers;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Liens securing obligations in an aggregate principal amount outstanding which does not exceed the greater of (i) $167.5 million and (ii) 35.0% of LTM EBITDA (in each case, determined as of the date of such incurrence);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security given to a public utility or any municipality or governmental authority when required by such utility or authority in connection with the operations of that Person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Liens securing judgments for the payment of money not constituting an Event of Default under Section 6.01(a)(v) hereof so long as such Liens are adequately bonded and any appropriate legal proceedings that may have been duly initiated for the review of such judgment have not been finally terminated or the period within which such proceedings may be initiated has not expired;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Liens in favor of customs and revenue authorities arising as a matter of law to secure payment of customs duties in connection with the importation of goods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Liens (i) of a collection bank arising under Section 4-210 of the Uniform Commercial Code on items in the course of collection, (ii) attaching to commodity trading accounts or other commodity brokerage accounts incurred in the ordinary course of business, and (iii) in favor of banking institutions arising as a matter of law or under general terms and conditions encumbering deposits (including the right of set-off) and which are within the general parameters customary in the banking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Liens deemed to exist in connection with Investments in repurchase agreements permitted under Section 4.09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Liens do not extend to any assets other than those that are the subject of such repurchase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Liens encumbering reasonable customary deposits and margin deposits and similar Liens attaching to commodity trading accounts or other brokerage accounts incurred in the ordinary course of business and not for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Liens that are contractual rights of set-off (i) relating to the establishment of depository relations with banks not given in connection with the issuance of Indebtedness, (ii) relating to pooled deposit or sweep accounts of Parent or any of its Restricted Subsidiaries to permit satisfaction of overdraft or similar obligations incurred in the ordinary course of business of Parent and its Restricted Subsidiaries or (iii) relating to purchase orders and other agreements entered into with customers of Parent or any of its Restricted Subsidiaries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Liens relating to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any encumbrance or restriction (including put and call arrangements) with respect to capital stock of any joint venture or similar arrangement pursuant to any joint venture or similar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Liens arising out of conditional sale, title retention, consignment or similar arrangements for the sale or purchase of goods entered into by Parent or any Restricted Subsidiary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Liens solely on any cash earnest money deposits made by Parent or any of its Restricted Subsidiaries in connection with any letter of intent or purchase agreement permitted by this Indenture, and Liens on assets or securities deemed to arise in connection with and solely as a result of the execution, delivery or performance of contracts to sell such assets or securities if such sale is otherwise permitted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(a) ground leases in respect of real property on which facilities owned or leased by Parent or any of its Subsidiaries are located; (b) mortgages, liens, security interests, restrictions, encumbrances or any other matters of record that have been placed by any government, statutory or regulatory authority, developer, landlord or other third party on property over which Parent or any Restricted Subsidiary has easement rights or on any leased property and subordination or similar arrangements relating thereto; (c) any condemnation or eminent domain proceedings affecting any real property; and (d) Liens on property or assets under construction (and related rights) in favor of a contractor or developer or arising from progress or partial payments by a third party relating to such property or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Liens on insurance policies and the proceeds thereof securing the financing of the premiums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Liens on Capital Stock of an Unrestricted Subsidiary that secure Indebtedness or other obligations of such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Liens on the assets of non-guarantor Restricted Subsidiaries securing Indebtedness of such Subsidiaries that were permitted by the terms of this Indenture to be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Liens on cash advances or escrow deposits in favor of the seller of any property to be acquired in an Investment permitted under this Indenture to be applied against the purchase price for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any interest or title of a lessor, sub-lessor, licensor or sub-licensor or secured by a lessor’s, sub-lessor’s, licensor’s or sub-licensor’s interest under leases or licenses entered into by Parent or any of the Restricted Subsidiaries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deposits of cash with the owner or lessor of premises leased and operated by Parent or any of its Subsidiaries in the ordinary course of business of Parent and such Subsidiary to secure the performance of Parent’s or such Subsidiary’s obligations under the terms of the lease for such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rights of recapture of unused real property in favor of the seller of such property set forth in customary purchase agreements and related arrangements with any government, statutory or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the rights reserved to or vested in any Person or government, statutory or regulatory authority by the terms of any lease, license, franchise, grant or permit held by Parent or any Restricted Subsidiary or by a statutory provision, to terminate any such lease, license, franchise, grant or permit, or to require annual or periodic payments as a condition to the continuance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restrictive covenants affecting the use to which real property may be put;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Liens or covenants restricting or prohibiting access to or from lands abutting on controlled access highways or covenants affecting the use to which lands may be put;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Liens or covenants do not interfere with the ordinary conduct of the business of Parent or any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the term “Indebtedness” shall be deemed to include interest on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Tax Restructuring</w:t>
      </w:r>
      <w:r>
        <w:rPr>
          <w:rFonts w:ascii="Times New Roman;Times;Serif" w:hAnsi="Times New Roman;Times;Serif"/>
          <w:b w:val="false"/>
          <w:i w:val="false"/>
          <w:caps w:val="false"/>
          <w:smallCaps w:val="false"/>
          <w:sz w:val="20"/>
        </w:rPr>
        <w:t>” means any reorganizations and other activities related to tax planning and tax reorganization entered into prior to, on or after the Issue Date so long as such Permitted Tax Restructuring is not materially adverse to the holders of the Notes (as determined by Parent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limited liability company, partnership, joint venture, association, joint stock company, trust, unincorporated organization, government or any agency or political subdivision thereof or any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means any Equity Interest with preferential rights of payment of dividends or upon liquidation, dissolution, or winding 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Private Placement Legend</w:t>
      </w:r>
      <w:r>
        <w:rPr>
          <w:rFonts w:ascii="Times New Roman;Times;Serif" w:hAnsi="Times New Roman;Times;Serif"/>
          <w:b w:val="false"/>
          <w:i w:val="false"/>
          <w:caps w:val="false"/>
          <w:smallCaps w:val="false"/>
          <w:sz w:val="20"/>
        </w:rPr>
        <w:t>” means the legend set forth in Section 2.06(g)(i) hereof to be placed on all Notes issued under this Indenture, except where otherwise permitted by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QIB</w:t>
      </w:r>
      <w:r>
        <w:rPr>
          <w:rFonts w:ascii="Times New Roman;Times;Serif" w:hAnsi="Times New Roman;Times;Serif"/>
          <w:b w:val="false"/>
          <w:i w:val="false"/>
          <w:caps w:val="false"/>
          <w:smallCaps w:val="false"/>
          <w:sz w:val="20"/>
        </w:rPr>
        <w:t>” means a “qualified institutional buyer” as defined in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Qualified Proceeds</w:t>
      </w:r>
      <w:r>
        <w:rPr>
          <w:rFonts w:ascii="Times New Roman;Times;Serif" w:hAnsi="Times New Roman;Times;Serif"/>
          <w:b w:val="false"/>
          <w:i w:val="false"/>
          <w:caps w:val="false"/>
          <w:smallCaps w:val="false"/>
          <w:sz w:val="20"/>
        </w:rPr>
        <w:t>” means the fair market value of assets that are used or useful in, or Capital Stock of any Person engaged in, a Similar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Qualified Securitization Facility</w:t>
      </w:r>
      <w:r>
        <w:rPr>
          <w:rFonts w:ascii="Times New Roman;Times;Serif" w:hAnsi="Times New Roman;Times;Serif"/>
          <w:b w:val="false"/>
          <w:i w:val="false"/>
          <w:caps w:val="false"/>
          <w:smallCaps w:val="false"/>
          <w:sz w:val="20"/>
        </w:rPr>
        <w:t>” means any Securitization Facility (a) constituting a securitization financing facility that meets the following conditions: (i) the board of directors of Parent shall have determined in good faith that such Securitization Facility (including financing terms, covenants, termination events and other provisions) is in the aggregate economically fair and reasonable to Parent and the applicable Securitization Subsidiary, (ii) all sales and/or contributions of Securitization Assets and related assets to the applicable Securitization Subsidiary are made at fair market value (as determined in good faith by Parent) and (iii) the financing terms, covenants, termination events and other provisions thereof shall be market terms (as determined in good faith by Parent) or (b) constituting a receivables financing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Rating Agencies</w:t>
      </w:r>
      <w:r>
        <w:rPr>
          <w:rFonts w:ascii="Times New Roman;Times;Serif" w:hAnsi="Times New Roman;Times;Serif"/>
          <w:b w:val="false"/>
          <w:i w:val="false"/>
          <w:caps w:val="false"/>
          <w:smallCaps w:val="false"/>
          <w:sz w:val="20"/>
        </w:rPr>
        <w:t>” means Moody’s and S&amp;P or if Moody’s or S&amp;P or both shall not make a rating on the Notes publicly available, a nationally recognized statistical rating agency or agencies, as the case may be, selected by Parent which shall be substituted for Moody’s or S&amp;P or both,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for the interest payable on any applicable Interest Payment Date means the January 1 and July 1 (whether or not a Business Day) immediately preceding such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Regulation S</w:t>
      </w:r>
      <w:r>
        <w:rPr>
          <w:rFonts w:ascii="Times New Roman;Times;Serif" w:hAnsi="Times New Roman;Times;Serif"/>
          <w:b w:val="false"/>
          <w:i w:val="false"/>
          <w:caps w:val="false"/>
          <w:smallCaps w:val="false"/>
          <w:sz w:val="20"/>
        </w:rPr>
        <w:t>” means Regulation 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Regulation S Global Note</w:t>
      </w:r>
      <w:r>
        <w:rPr>
          <w:rFonts w:ascii="Times New Roman;Times;Serif" w:hAnsi="Times New Roman;Times;Serif"/>
          <w:b w:val="false"/>
          <w:i w:val="false"/>
          <w:caps w:val="false"/>
          <w:smallCaps w:val="false"/>
          <w:sz w:val="20"/>
        </w:rPr>
        <w:t>” means a Regulation S Temporary Global Note or Regulation S Permanent Global Note,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Regulation S Permanent Global Note</w:t>
      </w:r>
      <w:r>
        <w:rPr>
          <w:rFonts w:ascii="Times New Roman;Times;Serif" w:hAnsi="Times New Roman;Times;Serif"/>
          <w:b w:val="false"/>
          <w:i w:val="false"/>
          <w:caps w:val="false"/>
          <w:smallCaps w:val="false"/>
          <w:sz w:val="20"/>
        </w:rPr>
        <w:t>” means a permanent Global Note in the form of Exhibit A bearing the Global Note Legend and the Private Placement Legend and deposited with or on behalf of, and registered in the name of, the Depositary or its nominee, issued in a denomination equal to the outstanding principal amount of the Regulation S Temporary Global Note upon expiration of the applicable Restricted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Regulation S Temporary Global Note</w:t>
      </w:r>
      <w:r>
        <w:rPr>
          <w:rFonts w:ascii="Times New Roman;Times;Serif" w:hAnsi="Times New Roman;Times;Serif"/>
          <w:b w:val="false"/>
          <w:i w:val="false"/>
          <w:caps w:val="false"/>
          <w:smallCaps w:val="false"/>
          <w:sz w:val="20"/>
        </w:rPr>
        <w:t>” means a temporary Global Note in the form of Exhibit A bearing the Global Note Legend and the Private Placement Legend and the Regulation S Temporary Global Note Legend and deposited with or on behalf of, and registered in the name of, the Depositary or its nominee, issued in a denomination equal to the outstanding principal amount of the Notes initially sold in reliance on Rule 903.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Regulation S Temporary Global Note Legend</w:t>
      </w:r>
      <w:r>
        <w:rPr>
          <w:rFonts w:ascii="Times New Roman;Times;Serif" w:hAnsi="Times New Roman;Times;Serif"/>
          <w:b w:val="false"/>
          <w:i w:val="false"/>
          <w:caps w:val="false"/>
          <w:smallCaps w:val="false"/>
          <w:sz w:val="20"/>
        </w:rPr>
        <w:t>” means the legend set forth in Section 2.06(g)(iii)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Related Business Assets</w:t>
      </w:r>
      <w:r>
        <w:rPr>
          <w:rFonts w:ascii="Times New Roman;Times;Serif" w:hAnsi="Times New Roman;Times;Serif"/>
          <w:b w:val="false"/>
          <w:i w:val="false"/>
          <w:caps w:val="false"/>
          <w:smallCaps w:val="false"/>
          <w:sz w:val="20"/>
        </w:rPr>
        <w:t xml:space="preserve">” means assets (other than Cash Equivalents) used or useful in a Similar Business,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assets received by Parent or a Restricted Subsidiary in exchange for assets transferred by Parent or a Restricted Subsidiary shall not be deemed to be Related Business Assets if they consist of securities of a Person, unless upon receipt of the securities of such Person, such Person would become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in each case, who shall have direct responsibility for the administration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Definitive Note</w:t>
      </w:r>
      <w:r>
        <w:rPr>
          <w:rFonts w:ascii="Times New Roman;Times;Serif" w:hAnsi="Times New Roman;Times;Serif"/>
          <w:b w:val="false"/>
          <w:i w:val="false"/>
          <w:caps w:val="false"/>
          <w:smallCaps w:val="false"/>
          <w:sz w:val="20"/>
        </w:rPr>
        <w:t>” means a Definitive Note bearing, or that is required to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Global Note</w:t>
      </w:r>
      <w:r>
        <w:rPr>
          <w:rFonts w:ascii="Times New Roman;Times;Serif" w:hAnsi="Times New Roman;Times;Serif"/>
          <w:b w:val="false"/>
          <w:i w:val="false"/>
          <w:caps w:val="false"/>
          <w:smallCaps w:val="false"/>
          <w:sz w:val="20"/>
        </w:rPr>
        <w:t>” means a Global Note bearing, or that is required to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Investment</w:t>
      </w:r>
      <w:r>
        <w:rPr>
          <w:rFonts w:ascii="Times New Roman;Times;Serif" w:hAnsi="Times New Roman;Times;Serif"/>
          <w:b w:val="false"/>
          <w:i w:val="false"/>
          <w:caps w:val="false"/>
          <w:smallCaps w:val="false"/>
          <w:sz w:val="20"/>
        </w:rPr>
        <w:t>” means an Investment other than a Permitted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Period</w:t>
      </w:r>
      <w:r>
        <w:rPr>
          <w:rFonts w:ascii="Times New Roman;Times;Serif" w:hAnsi="Times New Roman;Times;Serif"/>
          <w:b w:val="false"/>
          <w:i w:val="false"/>
          <w:caps w:val="false"/>
          <w:smallCaps w:val="false"/>
          <w:sz w:val="20"/>
        </w:rPr>
        <w:t>” means, in respect of any Note issued under Regulation S, the 40-day distribution compliance period as defined in Regulation S applicable to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Subsidiary</w:t>
      </w:r>
      <w:r>
        <w:rPr>
          <w:rFonts w:ascii="Times New Roman;Times;Serif" w:hAnsi="Times New Roman;Times;Serif"/>
          <w:b w:val="false"/>
          <w:i w:val="false"/>
          <w:caps w:val="false"/>
          <w:smallCaps w:val="false"/>
          <w:sz w:val="20"/>
        </w:rPr>
        <w:t xml:space="preserve">” means, at any time, any direct or indirect Subsidiary of Parent (including the Issuer) that is not then an Unrestricted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upon an Unrestricted Subsidiary ceasing to be an Unrestricted Subsidiary, such Subsidiary shall be included in the definition of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144A</w:t>
      </w:r>
      <w:r>
        <w:rPr>
          <w:rFonts w:ascii="Times New Roman;Times;Serif" w:hAnsi="Times New Roman;Times;Serif"/>
          <w:b w:val="false"/>
          <w:i w:val="false"/>
          <w:caps w:val="false"/>
          <w:smallCaps w:val="false"/>
          <w:sz w:val="20"/>
        </w:rPr>
        <w:t>” means Rule 144A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903</w:t>
      </w:r>
      <w:r>
        <w:rPr>
          <w:rFonts w:ascii="Times New Roman;Times;Serif" w:hAnsi="Times New Roman;Times;Serif"/>
          <w:b w:val="false"/>
          <w:i w:val="false"/>
          <w:caps w:val="false"/>
          <w:smallCaps w:val="false"/>
          <w:sz w:val="20"/>
        </w:rPr>
        <w:t>” means Rule 903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904</w:t>
      </w:r>
      <w:r>
        <w:rPr>
          <w:rFonts w:ascii="Times New Roman;Times;Serif" w:hAnsi="Times New Roman;Times;Serif"/>
          <w:b w:val="false"/>
          <w:i w:val="false"/>
          <w:caps w:val="false"/>
          <w:smallCaps w:val="false"/>
          <w:sz w:val="20"/>
        </w:rPr>
        <w:t>” means Rule 904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means Standard &amp; Poor’s, a division of S&amp;P Global, Inc., and any successor to its rating agency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Sale and Lease-Back Transaction</w:t>
      </w:r>
      <w:r>
        <w:rPr>
          <w:rFonts w:ascii="Times New Roman;Times;Serif" w:hAnsi="Times New Roman;Times;Serif"/>
          <w:b w:val="false"/>
          <w:i w:val="false"/>
          <w:caps w:val="false"/>
          <w:smallCaps w:val="false"/>
          <w:sz w:val="20"/>
        </w:rPr>
        <w:t>” means any arrangement providing for the leasing by Parent or any of its Restricted Subsidiaries of any real or tangible personal property, which property has been or is to be sold or transferred by Parent or such Restricted Subsidiary to a third Person in contemplation of such leasing.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Screened Affiliate</w:t>
      </w:r>
      <w:r>
        <w:rPr>
          <w:rFonts w:ascii="Times New Roman;Times;Serif" w:hAnsi="Times New Roman;Times;Serif"/>
          <w:b w:val="false"/>
          <w:i w:val="false"/>
          <w:caps w:val="false"/>
          <w:smallCaps w:val="false"/>
          <w:sz w:val="20"/>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Parent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Secured Indebtedness</w:t>
      </w:r>
      <w:r>
        <w:rPr>
          <w:rFonts w:ascii="Times New Roman;Times;Serif" w:hAnsi="Times New Roman;Times;Serif"/>
          <w:b w:val="false"/>
          <w:i w:val="false"/>
          <w:caps w:val="false"/>
          <w:smallCaps w:val="false"/>
          <w:sz w:val="20"/>
        </w:rPr>
        <w:t>” means any Indebtedness of Parent or any of its Restricted Subsidiaries secured by a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Securitization Assets</w:t>
      </w:r>
      <w:r>
        <w:rPr>
          <w:rFonts w:ascii="Times New Roman;Times;Serif" w:hAnsi="Times New Roman;Times;Serif"/>
          <w:b w:val="false"/>
          <w:i w:val="false"/>
          <w:caps w:val="false"/>
          <w:smallCaps w:val="false"/>
          <w:sz w:val="20"/>
        </w:rPr>
        <w:t>” means the accounts receivable, royalty or other revenue streams and other rights to payment and any other assets related thereto subject to a Qualified Securitization Facility and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Securitization Facility</w:t>
      </w:r>
      <w:r>
        <w:rPr>
          <w:rFonts w:ascii="Times New Roman;Times;Serif" w:hAnsi="Times New Roman;Times;Serif"/>
          <w:b w:val="false"/>
          <w:i w:val="false"/>
          <w:caps w:val="false"/>
          <w:smallCaps w:val="false"/>
          <w:sz w:val="20"/>
        </w:rPr>
        <w:t>” means any of one or more receivables or securitization financing facilities as amended, supplemented, modified, extended, renewed, restated or refunded from time to time, the Obligations of which are non-recourse (except for customary representations, warranties, covenants and indemnities made in connection with such facilities) to Parent or any of its Restricted Subsidiaries (other than a Securitization Subsidiary) pursuant to which Parent or any of its Restricted Subsidiaries sells or grants a security interest in its accounts receivable or Securitization Assets or assets related thereto to either (a) a Person that is not a Restricted Subsidiary or (b) a Securitization Subsidiary that in turn sells its accounts receivable to a Person that is not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Securitization Fees</w:t>
      </w:r>
      <w:r>
        <w:rPr>
          <w:rFonts w:ascii="Times New Roman;Times;Serif" w:hAnsi="Times New Roman;Times;Serif"/>
          <w:b w:val="false"/>
          <w:i w:val="false"/>
          <w:caps w:val="false"/>
          <w:smallCaps w:val="false"/>
          <w:sz w:val="20"/>
        </w:rPr>
        <w:t>” means distributions or payments made directly or by means of discounts with respect to any participation interest issued or sold in connection with, and other fees paid to a Person that is not a Securitization Subsidiary in connection with, any Qualified Securitization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Securitization Subsidiary</w:t>
      </w:r>
      <w:r>
        <w:rPr>
          <w:rFonts w:ascii="Times New Roman;Times;Serif" w:hAnsi="Times New Roman;Times;Serif"/>
          <w:b w:val="false"/>
          <w:i w:val="false"/>
          <w:caps w:val="false"/>
          <w:smallCaps w:val="false"/>
          <w:sz w:val="20"/>
        </w:rPr>
        <w:t>” means any Subsidiary formed for the purpose of, and that solely engages in one or more Qualified Securitization Facilities and other activities reasonably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Senior Indebtedness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Indebtedness of the Issuer or any Guarantor outstanding under the Senior Secured Credit Facilities, the 2031 Notes and the Notes and related Guarantees (including interest accruing on or after the filing of any petition in bankruptcy or similar proceeding or for reorganization of the Issuer or any Guarantor (at the rate provided for in the documentation with respect thereto, regardless of whether or not a claim for post-filing interest is allowed in such proceedings)), and any and all other fees, expense reimbursement obligations, indemnification amounts, penalties, and other amounts (whether existing on the Issue Date or thereafter created or incurred) and all obligations of the Issuer or any Guarantor to reimburse any bank or other Person in respect of amounts paid under letters of credit, acceptances or other similar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(x) Hedging Obligations (and guarantees thereof) and (y) obligations in respect of Bank Products (and guarantees thereof) owing to a lender under the Senior Secured Credit Facilities or any Affiliate of such lender (or any Person that was a lender or an Affiliate of such lender at the time the applicable agreement giving rise to such Hedging Obligation was entered into);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Hedging Obligations and obligations in respect of Bank Products, as the case may be, are permitted to be incurred under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other Indebtedness of the Issuer or any Guarantor permitted to be incurred under the terms of this Indenture, unless the instrument under which such Indebtedness is incurred expressly provides that it is subordinated in right of payment to the Notes or any related Guarantee;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all Obligations with respect to the items listed in the preceding clauses (a), (b) and (c);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Senior Indebtedness shall not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obligation of such Person to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liability for federal, state, local or other taxes owed or owing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accounts payable or other liability to trade creditors arising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Indebtedness or other Obligation of such Person which is subordinate or junior in any respect to any other Indebtedness or other Obligation of such Person;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portion of any Indebtedness which at the time of incurrence is incurred in violation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Senior Secured Credit Facilities</w:t>
      </w:r>
      <w:r>
        <w:rPr>
          <w:rFonts w:ascii="Times New Roman;Times;Serif" w:hAnsi="Times New Roman;Times;Serif"/>
          <w:b w:val="false"/>
          <w:i w:val="false"/>
          <w:caps w:val="false"/>
          <w:smallCaps w:val="false"/>
          <w:sz w:val="20"/>
        </w:rPr>
        <w:t>” means the ABL Facility and the Term Loan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Short Derivative Instrument</w:t>
      </w:r>
      <w:r>
        <w:rPr>
          <w:rFonts w:ascii="Times New Roman;Times;Serif" w:hAnsi="Times New Roman;Times;Serif"/>
          <w:b w:val="false"/>
          <w:i w:val="false"/>
          <w:caps w:val="false"/>
          <w:smallCaps w:val="false"/>
          <w:sz w:val="20"/>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means any Restricted Subsidiary that would be a “significant subsidiary” as defined in Article 1, Rule 1-02 of Regulation S-X, promulgated pursuant to the Securities Act, as such regulation is in effect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Similar Business</w:t>
      </w:r>
      <w:r>
        <w:rPr>
          <w:rFonts w:ascii="Times New Roman;Times;Serif" w:hAnsi="Times New Roman;Times;Serif"/>
          <w:b w:val="false"/>
          <w:i w:val="false"/>
          <w:caps w:val="false"/>
          <w:smallCaps w:val="false"/>
          <w:sz w:val="20"/>
        </w:rPr>
        <w:t>” means (a) any business conducted by Parent or any of its Restricted Subsidiaries on the Issue Date, and any reasonable extension thereof, or (b) any business or other activities that are reasonably similar, ancillary, synergistic, incidental, complementary or related to, or a reasonable extension, development or expansion of, the businesses in which Parent and its Restricted Subsidiaries are engaged on the Issue Date. For the avoidance of doubt, any Person that invests in or owns Capital Stock or Indebtedness of another Person that is engaged in a Similar Business shall be deemed to be engaged in a Similar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Subordinated Indebtedness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Indebtedness of the Issuer which is by its terms subordinated in right of payment to the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Indebtedness of any Guarantor which is by its terms subordinated in right of payment to the Guarantee of such entity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 is consolidated under GAAP with such Person at such time;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partnership, joint venture, limited liability company or similar entity of which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more than 50.0%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or otherwise,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Person or any Restricted Subsidiary of such Person is a controlling general partner or otherwise controls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Loan Facility</w:t>
      </w:r>
      <w:r>
        <w:rPr>
          <w:rFonts w:ascii="Times New Roman;Times;Serif" w:hAnsi="Times New Roman;Times;Serif"/>
          <w:b w:val="false"/>
          <w:i w:val="false"/>
          <w:caps w:val="false"/>
          <w:smallCaps w:val="false"/>
          <w:sz w:val="20"/>
        </w:rPr>
        <w:t>” means the credit facility provided under the Term Loan Credit Agreement dated as of June 12, 2026 among Parent, the Issuer, the lenders party thereto from time to time in their capacities as lenders thereunder, and Citibank, N.A., as administrative agent and collateral agent and the other parties thereto, or other financing arrangements (including, without limitation, commercial paper facilities or indentures) providing for revolving credit loans, term loans, letters of credit or other indebtedness, including any notes, mortgages, guarantees, collateral documents, instruments and agreements executed in connection therewith, and any amendments, supplements, modifications, extensions, replacements, renewals, restatements, refundings or refinancings thereof and any one or more indentures or credit facilities or commercial paper facilities with banks or other institutional lenders or investors that extend, replace, refund, refinance, renew or defease any part of the loans, notes, other credit facilities or commitments thereunder, including any such replacement, refunding or refinancing facility or indenture that increases the amount borrowable thereunder or alters the maturity thereof or adds Restricted Subsidiaries as additional borrowers or guarantors thereunder and whether by the same or any other agent, lender or group of lenders. For the avoidance of doubt, subject to Section 4.09(c)(i) hereof, a refinancing or replacement a financing arrangement of the type described herein with another such financing arrangement that is not simultaneous with the termination or of the then-existing financing arrangement may constitute a Term Loan Facility for the purposes hereof notwithstanding such lack of simultaneity in such refinancing or replacement.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Total Assets</w:t>
      </w:r>
      <w:r>
        <w:rPr>
          <w:rFonts w:ascii="Times New Roman;Times;Serif" w:hAnsi="Times New Roman;Times;Serif"/>
          <w:b w:val="false"/>
          <w:i w:val="false"/>
          <w:caps w:val="false"/>
          <w:smallCaps w:val="false"/>
          <w:sz w:val="20"/>
        </w:rPr>
        <w:t>” means the total assets of Parent and its Restricted Subsidiaries, determined on a consolidated basis in accordance with GAAP, as shown on the most recent available balance sheet of Parent or such other Person as may be expressly stated, determined on a pro forma basis to include any asset directly or indirectly acquired or disposed of by Parent and its Restricted Subsidiaries on or prior to the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Transaction Expenses</w:t>
      </w:r>
      <w:r>
        <w:rPr>
          <w:rFonts w:ascii="Times New Roman;Times;Serif" w:hAnsi="Times New Roman;Times;Serif"/>
          <w:b w:val="false"/>
          <w:i w:val="false"/>
          <w:caps w:val="false"/>
          <w:smallCaps w:val="false"/>
          <w:sz w:val="20"/>
        </w:rPr>
        <w:t>” means any fees or expenses incurred or paid by Parent or any Restricted Subsidiary in connection with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means the offering of the Notes, the redemption of the 5.125% senior notes due 2028 and the payment of transactions fees and expenses and other transactions in connection therewith or incidental thereto, in each case, as described in the Offering Memorandum.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Treasury Rate</w:t>
      </w:r>
      <w:r>
        <w:rPr>
          <w:rFonts w:ascii="Times New Roman;Times;Serif" w:hAnsi="Times New Roman;Times;Serif"/>
          <w:b w:val="false"/>
          <w:i w:val="false"/>
          <w:caps w:val="false"/>
          <w:smallCaps w:val="false"/>
          <w:sz w:val="20"/>
        </w:rPr>
        <w:t xml:space="preserve">” means, as of any date that notice of redemption of any Note is provided to the Trustee, the yield to maturity as of such date of United States Treasury securities with a constant maturity (as compiled and published in the most recent Federal Reserve Statistical Release H.15 that has become publicly available on the Business Day immediately preceding the date that the applicable notice of redemption is provided by the Issuer with respect to the Notes to be redeemed on the Redemption Date (or, if such Statistical Release is no longer published, any publicly available source of similar market data)) most nearly equal to the period from the computation date to July 15, 2029;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period from the computation date to such date is less than one year, the weekly average yield on actually traded United States Treasury securities adjusted to a constant maturity of one year will be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means the Trust Indenture Act of 1939, as amended (15 U.S.C. §§ 77aaa-77bbbb).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U.S. Bank Trust Company, National Association, as trustee, until a successor replaces it in accordance with the applicable provisions of this Indenture and thereafter means the successor serving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Uniform Commercial Code</w:t>
      </w:r>
      <w:r>
        <w:rPr>
          <w:rFonts w:ascii="Times New Roman;Times;Serif" w:hAnsi="Times New Roman;Times;Serif"/>
          <w:b w:val="false"/>
          <w:i w:val="false"/>
          <w:caps w:val="false"/>
          <w:smallCaps w:val="false"/>
          <w:sz w:val="20"/>
        </w:rPr>
        <w:t>” means the Uniform Commercial Code or any successor provision thereof as the same may from time to time be in effect in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Unrestricted Definitive Note</w:t>
      </w:r>
      <w:r>
        <w:rPr>
          <w:rFonts w:ascii="Times New Roman;Times;Serif" w:hAnsi="Times New Roman;Times;Serif"/>
          <w:b w:val="false"/>
          <w:i w:val="false"/>
          <w:caps w:val="false"/>
          <w:smallCaps w:val="false"/>
          <w:sz w:val="20"/>
        </w:rPr>
        <w:t>” means one or more Definitive Notes that do not bear and are not required to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Unrestricted Global Note</w:t>
      </w:r>
      <w:r>
        <w:rPr>
          <w:rFonts w:ascii="Times New Roman;Times;Serif" w:hAnsi="Times New Roman;Times;Serif"/>
          <w:b w:val="false"/>
          <w:i w:val="false"/>
          <w:caps w:val="false"/>
          <w:smallCaps w:val="false"/>
          <w:sz w:val="20"/>
        </w:rPr>
        <w:t>” means a permanent Global Note, substantially in the form of Exhibit A that bears the Global Note Legend and that has the “Schedule of Exchanges of Interests in the Global Note” attached thereto, and that is deposited with or on behalf of and registered in the name of the Depositary, representing Notes that do not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Unrestricted Subsidiary</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Subsidiary of Parent which at the time of determination is an Unrestricted Subsidiary (as designated by Parent, as provided below);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Subsidiary of an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 may designate any Subsidiary of Parent (including any existing Subsidiary and any newly acquired or newly formed Subsidiary) other than the Issuer to be an Unrestricted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Unrestricted Subsidiary must be an entity of which the Equity Interests entitled to cast at least a majority of the votes that may be cast by all Equity Interests having ordinary voting power for the election of directors or Persons performing a similar function are owned, directly or indirectly,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designation complies with Section 4.07 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Subsidiary shall be designated as an Unrestricted Subsidiary under this Indenture if such Subsidiary is a Restricted Subsidiary under any Senior Secured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 may designate any Unrestricted Subsidiary to be a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could incur any Indebtedness deemed Incurred by the designation of such Unrestricted Subsidiary as a Restricted Subsidiary;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Fixed Charge Coverage Ratio for Parent and its Restricted Subsidiaries would be equal to or greater than such ratio for Parent and its Restricted Subsidiaries immediately prior to such designation, in each case on a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basis taking into account such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designation by Parent shall be notified by Parent to the Trustee by promptly filing with the Trustee a copy of the resolution of the board of directors of Parent or any committee thereof giving effect to such designation and an Officer’s Certificate certifying that such designation complied with the foregoing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Dollar Equivalent</w:t>
      </w:r>
      <w:r>
        <w:rPr>
          <w:rFonts w:ascii="Times New Roman;Times;Serif" w:hAnsi="Times New Roman;Times;Serif"/>
          <w:b w:val="false"/>
          <w:i w:val="false"/>
          <w:caps w:val="false"/>
          <w:smallCaps w:val="false"/>
          <w:sz w:val="20"/>
        </w:rPr>
        <w:t>” means with respect to any monetary amount in a currency other than U.S. dollars, at any time for determination thereof, the amount of U.S. dollars obtained by converting such foreign currency involved in such computation into U.S. dollars at the spot rate for the purchase of U.S. dollars with the applicable foreign currency as published in The Wall Street Journal in the “Exchange Rates” column under the heading “Currency Trading” on the date two Business Days prior to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Government Securities</w:t>
      </w:r>
      <w:r>
        <w:rPr>
          <w:rFonts w:ascii="Times New Roman;Times;Serif" w:hAnsi="Times New Roman;Times;Serif"/>
          <w:b w:val="false"/>
          <w:i w:val="false"/>
          <w:caps w:val="false"/>
          <w:smallCaps w:val="false"/>
          <w:sz w:val="20"/>
        </w:rPr>
        <w:t>” means securities that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 obligations of the United States of America for the timely payment of which its full faith and credit is pledged;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obligations of a Person controlled or supervised by and acting as an agency or instrumentality of the United States of America the timely payment of which is unconditionally guaranteed as a full faith and credit obligation by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which, in either case, are not callable or redeemable at the option of the issuers thereof, and shall also include a depository receipt issued by a bank (as defined in Section 3(a)(2) of the Securities Act), as custodian with respect to any such U.S. Government Securities or a specific payment of principal of or interest on any such U.S. Government Securities held by such custodian for the account of the holder of such depository receipt;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(except as required by law) such custodian is not authorized to make any deduction from the amount payable to the holder of such depository receipt from any amount received by the custodian in respect of the U.S. Government Securities or the specific payment of principal of or interest on the U.S. Government Securities evidenced by such depository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Person</w:t>
      </w:r>
      <w:r>
        <w:rPr>
          <w:rFonts w:ascii="Times New Roman;Times;Serif" w:hAnsi="Times New Roman;Times;Serif"/>
          <w:b w:val="false"/>
          <w:i w:val="false"/>
          <w:caps w:val="false"/>
          <w:smallCaps w:val="false"/>
          <w:sz w:val="20"/>
        </w:rPr>
        <w:t>” means a U.S. person as defined in Rule 902(k)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Weighted Average Life to Maturity</w:t>
      </w:r>
      <w:r>
        <w:rPr>
          <w:rFonts w:ascii="Times New Roman;Times;Serif" w:hAnsi="Times New Roman;Times;Serif"/>
          <w:b w:val="false"/>
          <w:i w:val="false"/>
          <w:caps w:val="false"/>
          <w:smallCaps w:val="false"/>
          <w:sz w:val="20"/>
        </w:rPr>
        <w:t>” means, when applied to any Indebtedness, Disqualified Stock or Preferred Stock, as the case may be, at any date, the quotient obtained by dividing: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sum of the products of the number of years from the date of determination to the date of each successive scheduled principal payment of such Indebtedness or redemption or similar payment with respect to such Disqualified Stock or Preferred Stock multiplied by the amount of such payment;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sum of all such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for purposes of determining the Weighted Average Life to Maturity of any Indebtedness that is being extended, replaced, refunded, refinanced, renewed or defeased (the “</w:t>
      </w:r>
      <w:r>
        <w:rPr>
          <w:rFonts w:ascii="Times New Roman;Times;Serif" w:hAnsi="Times New Roman;Times;Serif"/>
          <w:b/>
          <w:i w:val="false"/>
          <w:caps w:val="false"/>
          <w:smallCaps w:val="false"/>
          <w:sz w:val="20"/>
        </w:rPr>
        <w:t>Applicable Indebtedness</w:t>
      </w:r>
      <w:r>
        <w:rPr>
          <w:rFonts w:ascii="Times New Roman;Times;Serif" w:hAnsi="Times New Roman;Times;Serif"/>
          <w:b w:val="false"/>
          <w:i w:val="false"/>
          <w:caps w:val="false"/>
          <w:smallCaps w:val="false"/>
          <w:sz w:val="20"/>
        </w:rPr>
        <w:t>”), the effects of any amortization or prepayments made on such Applicable Indebtedness prior to the date of the applicable extension, replacement, refunding, refinancing, renewal or defeasance shall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Wholly-Owned Subsidiary</w:t>
      </w:r>
      <w:r>
        <w:rPr>
          <w:rFonts w:ascii="Times New Roman;Times;Serif" w:hAnsi="Times New Roman;Times;Serif"/>
          <w:b w:val="false"/>
          <w:i w:val="false"/>
          <w:caps w:val="false"/>
          <w:smallCaps w:val="false"/>
          <w:sz w:val="20"/>
        </w:rPr>
        <w:t>” of any Person means a Subsidiary of such Person, 100% of the outstanding Equity Interests of which (other than directors’ qualifying shares and shares issued to foreign nationals as required by applicable law) shall at the time be owned by such Person and/or by one or more Wholly-Owned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1.02.          </w:t>
      </w:r>
      <w:r>
        <w:rPr>
          <w:rFonts w:ascii="Times New Roman;Times;Serif" w:hAnsi="Times New Roman;Times;Serif"/>
          <w:b w:val="false"/>
          <w:i/>
          <w:caps w:val="false"/>
          <w:smallCaps w:val="false"/>
          <w:sz w:val="20"/>
        </w:rPr>
        <w:t>Other 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940" w:type="dxa"/>
        <w:jc w:val="center"/>
        <w:tblInd w:w="0" w:type="dxa"/>
        <w:tblLayout w:type="fixed"/>
        <w:tblCellMar>
          <w:top w:w="0" w:type="dxa"/>
          <w:left w:w="0" w:type="dxa"/>
          <w:bottom w:w="0" w:type="dxa"/>
          <w:right w:w="0" w:type="dxa"/>
        </w:tblCellMar>
      </w:tblPr>
      <w:tblGrid>
        <w:gridCol w:w="2915"/>
        <w:gridCol w:w="1025"/>
      </w:tblGrid>
      <w:tr>
        <w:trPr/>
        <w:tc>
          <w:tcPr>
            <w:tcW w:w="2915" w:type="dxa"/>
            <w:tcBorders/>
            <w:vAlign w:val="center"/>
          </w:tcPr>
          <w:p>
            <w:pPr>
              <w:pStyle w:val="TableContents"/>
              <w:bidi w:val="0"/>
              <w:spacing w:before="0" w:after="283"/>
              <w:jc w:val="left"/>
              <w:rPr>
                <w:b/>
              </w:rPr>
            </w:pPr>
            <w:r>
              <w:rPr>
                <w:b/>
              </w:rPr>
              <w:t>Term</w:t>
            </w:r>
          </w:p>
        </w:tc>
        <w:tc>
          <w:tcPr>
            <w:tcW w:w="1025" w:type="dxa"/>
            <w:tcBorders/>
            <w:vAlign w:val="center"/>
          </w:tcPr>
          <w:p>
            <w:pPr>
              <w:pStyle w:val="TableContents"/>
              <w:bidi w:val="0"/>
              <w:spacing w:before="0" w:after="283"/>
              <w:jc w:val="center"/>
              <w:rPr>
                <w:b/>
              </w:rPr>
            </w:pPr>
            <w:r>
              <w:rPr>
                <w:b/>
              </w:rPr>
              <w:t>Defined</w:t>
              <w:br/>
              <w:t>in Section</w:t>
            </w:r>
          </w:p>
        </w:tc>
      </w:tr>
      <w:tr>
        <w:trPr/>
        <w:tc>
          <w:tcPr>
            <w:tcW w:w="2915" w:type="dxa"/>
            <w:tcBorders/>
            <w:vAlign w:val="center"/>
          </w:tcPr>
          <w:p>
            <w:pPr>
              <w:pStyle w:val="TableContents"/>
              <w:bidi w:val="0"/>
              <w:spacing w:before="0" w:after="283"/>
              <w:jc w:val="left"/>
              <w:rPr/>
            </w:pPr>
            <w:r>
              <w:rPr/>
              <w:t>“</w:t>
            </w:r>
            <w:r>
              <w:rPr>
                <w:sz w:val="20"/>
              </w:rPr>
              <w:t>Acceptable Commitment”</w:t>
              <w:tab/>
            </w:r>
          </w:p>
        </w:tc>
        <w:tc>
          <w:tcPr>
            <w:tcW w:w="1025" w:type="dxa"/>
            <w:tcBorders/>
            <w:vAlign w:val="center"/>
          </w:tcPr>
          <w:p>
            <w:pPr>
              <w:pStyle w:val="TableContents"/>
              <w:bidi w:val="0"/>
              <w:spacing w:before="0" w:after="283"/>
              <w:jc w:val="center"/>
              <w:rPr>
                <w:sz w:val="20"/>
              </w:rPr>
            </w:pPr>
            <w:r>
              <w:rPr>
                <w:sz w:val="20"/>
              </w:rPr>
              <w:t>4.10</w:t>
            </w:r>
          </w:p>
        </w:tc>
      </w:tr>
      <w:tr>
        <w:trPr/>
        <w:tc>
          <w:tcPr>
            <w:tcW w:w="2915" w:type="dxa"/>
            <w:tcBorders/>
            <w:vAlign w:val="center"/>
          </w:tcPr>
          <w:p>
            <w:pPr>
              <w:pStyle w:val="TableContents"/>
              <w:bidi w:val="0"/>
              <w:spacing w:before="0" w:after="283"/>
              <w:jc w:val="left"/>
              <w:rPr/>
            </w:pPr>
            <w:r>
              <w:rPr/>
              <w:t>“</w:t>
            </w:r>
            <w:r>
              <w:rPr>
                <w:sz w:val="20"/>
              </w:rPr>
              <w:t>Affiliate Transaction”</w:t>
              <w:tab/>
            </w:r>
          </w:p>
        </w:tc>
        <w:tc>
          <w:tcPr>
            <w:tcW w:w="1025" w:type="dxa"/>
            <w:tcBorders/>
            <w:vAlign w:val="center"/>
          </w:tcPr>
          <w:p>
            <w:pPr>
              <w:pStyle w:val="TableContents"/>
              <w:bidi w:val="0"/>
              <w:spacing w:before="0" w:after="283"/>
              <w:jc w:val="center"/>
              <w:rPr>
                <w:sz w:val="20"/>
              </w:rPr>
            </w:pPr>
            <w:r>
              <w:rPr>
                <w:sz w:val="20"/>
              </w:rPr>
              <w:t>4.11</w:t>
            </w:r>
          </w:p>
        </w:tc>
      </w:tr>
      <w:tr>
        <w:trPr/>
        <w:tc>
          <w:tcPr>
            <w:tcW w:w="2915" w:type="dxa"/>
            <w:tcBorders/>
            <w:vAlign w:val="center"/>
          </w:tcPr>
          <w:p>
            <w:pPr>
              <w:pStyle w:val="TableContents"/>
              <w:bidi w:val="0"/>
              <w:spacing w:before="0" w:after="283"/>
              <w:jc w:val="left"/>
              <w:rPr/>
            </w:pPr>
            <w:r>
              <w:rPr/>
              <w:t>“</w:t>
            </w:r>
            <w:r>
              <w:rPr>
                <w:sz w:val="20"/>
              </w:rPr>
              <w:t>Applicable Proceeds”</w:t>
              <w:tab/>
            </w:r>
          </w:p>
        </w:tc>
        <w:tc>
          <w:tcPr>
            <w:tcW w:w="1025" w:type="dxa"/>
            <w:tcBorders/>
            <w:vAlign w:val="center"/>
          </w:tcPr>
          <w:p>
            <w:pPr>
              <w:pStyle w:val="TableContents"/>
              <w:bidi w:val="0"/>
              <w:spacing w:before="0" w:after="283"/>
              <w:jc w:val="center"/>
              <w:rPr>
                <w:sz w:val="20"/>
              </w:rPr>
            </w:pPr>
            <w:r>
              <w:rPr>
                <w:sz w:val="20"/>
              </w:rPr>
              <w:t>4.10</w:t>
            </w:r>
          </w:p>
        </w:tc>
      </w:tr>
      <w:tr>
        <w:trPr/>
        <w:tc>
          <w:tcPr>
            <w:tcW w:w="2915" w:type="dxa"/>
            <w:tcBorders/>
            <w:vAlign w:val="center"/>
          </w:tcPr>
          <w:p>
            <w:pPr>
              <w:pStyle w:val="TableContents"/>
              <w:bidi w:val="0"/>
              <w:spacing w:before="0" w:after="283"/>
              <w:jc w:val="left"/>
              <w:rPr/>
            </w:pPr>
            <w:r>
              <w:rPr/>
              <w:t>“</w:t>
            </w:r>
            <w:r>
              <w:rPr>
                <w:sz w:val="20"/>
              </w:rPr>
              <w:t>Asset Sale Offer”</w:t>
              <w:tab/>
            </w:r>
          </w:p>
        </w:tc>
        <w:tc>
          <w:tcPr>
            <w:tcW w:w="1025" w:type="dxa"/>
            <w:tcBorders/>
            <w:vAlign w:val="center"/>
          </w:tcPr>
          <w:p>
            <w:pPr>
              <w:pStyle w:val="TableContents"/>
              <w:bidi w:val="0"/>
              <w:spacing w:before="0" w:after="283"/>
              <w:jc w:val="center"/>
              <w:rPr>
                <w:sz w:val="20"/>
              </w:rPr>
            </w:pPr>
            <w:r>
              <w:rPr>
                <w:sz w:val="20"/>
              </w:rPr>
              <w:t>4.10</w:t>
            </w:r>
          </w:p>
        </w:tc>
      </w:tr>
      <w:tr>
        <w:trPr/>
        <w:tc>
          <w:tcPr>
            <w:tcW w:w="2915" w:type="dxa"/>
            <w:tcBorders/>
            <w:vAlign w:val="center"/>
          </w:tcPr>
          <w:p>
            <w:pPr>
              <w:pStyle w:val="TableContents"/>
              <w:bidi w:val="0"/>
              <w:spacing w:before="0" w:after="283"/>
              <w:jc w:val="left"/>
              <w:rPr/>
            </w:pPr>
            <w:r>
              <w:rPr/>
              <w:t>“</w:t>
            </w:r>
            <w:r>
              <w:rPr>
                <w:sz w:val="20"/>
              </w:rPr>
              <w:t>Authentication Order”</w:t>
              <w:tab/>
            </w:r>
          </w:p>
        </w:tc>
        <w:tc>
          <w:tcPr>
            <w:tcW w:w="1025" w:type="dxa"/>
            <w:tcBorders/>
            <w:vAlign w:val="center"/>
          </w:tcPr>
          <w:p>
            <w:pPr>
              <w:pStyle w:val="TableContents"/>
              <w:bidi w:val="0"/>
              <w:spacing w:before="0" w:after="283"/>
              <w:jc w:val="center"/>
              <w:rPr>
                <w:sz w:val="20"/>
              </w:rPr>
            </w:pPr>
            <w:r>
              <w:rPr>
                <w:sz w:val="20"/>
              </w:rPr>
              <w:t>2.02</w:t>
            </w:r>
          </w:p>
        </w:tc>
      </w:tr>
      <w:tr>
        <w:trPr/>
        <w:tc>
          <w:tcPr>
            <w:tcW w:w="2915" w:type="dxa"/>
            <w:tcBorders/>
            <w:vAlign w:val="center"/>
          </w:tcPr>
          <w:p>
            <w:pPr>
              <w:pStyle w:val="TableContents"/>
              <w:bidi w:val="0"/>
              <w:spacing w:before="0" w:after="283"/>
              <w:jc w:val="left"/>
              <w:rPr/>
            </w:pPr>
            <w:r>
              <w:rPr/>
              <w:t>“</w:t>
            </w:r>
            <w:r>
              <w:rPr>
                <w:sz w:val="20"/>
              </w:rPr>
              <w:t>Change of Control Offer”</w:t>
              <w:tab/>
            </w:r>
          </w:p>
        </w:tc>
        <w:tc>
          <w:tcPr>
            <w:tcW w:w="1025" w:type="dxa"/>
            <w:tcBorders/>
            <w:vAlign w:val="center"/>
          </w:tcPr>
          <w:p>
            <w:pPr>
              <w:pStyle w:val="TableContents"/>
              <w:bidi w:val="0"/>
              <w:spacing w:before="0" w:after="283"/>
              <w:jc w:val="center"/>
              <w:rPr>
                <w:sz w:val="20"/>
              </w:rPr>
            </w:pPr>
            <w:r>
              <w:rPr>
                <w:sz w:val="20"/>
              </w:rPr>
              <w:t>4.14</w:t>
            </w:r>
          </w:p>
        </w:tc>
      </w:tr>
      <w:tr>
        <w:trPr/>
        <w:tc>
          <w:tcPr>
            <w:tcW w:w="2915" w:type="dxa"/>
            <w:tcBorders/>
            <w:vAlign w:val="center"/>
          </w:tcPr>
          <w:p>
            <w:pPr>
              <w:pStyle w:val="TableContents"/>
              <w:bidi w:val="0"/>
              <w:spacing w:before="0" w:after="283"/>
              <w:jc w:val="left"/>
              <w:rPr/>
            </w:pPr>
            <w:r>
              <w:rPr/>
              <w:t>“</w:t>
            </w:r>
            <w:r>
              <w:rPr>
                <w:sz w:val="20"/>
              </w:rPr>
              <w:t>Change of Control Payment”</w:t>
              <w:tab/>
            </w:r>
          </w:p>
        </w:tc>
        <w:tc>
          <w:tcPr>
            <w:tcW w:w="1025" w:type="dxa"/>
            <w:tcBorders/>
            <w:vAlign w:val="center"/>
          </w:tcPr>
          <w:p>
            <w:pPr>
              <w:pStyle w:val="TableContents"/>
              <w:bidi w:val="0"/>
              <w:spacing w:before="0" w:after="283"/>
              <w:jc w:val="center"/>
              <w:rPr>
                <w:sz w:val="20"/>
              </w:rPr>
            </w:pPr>
            <w:r>
              <w:rPr>
                <w:sz w:val="20"/>
              </w:rPr>
              <w:t>4.14</w:t>
            </w:r>
          </w:p>
        </w:tc>
      </w:tr>
      <w:tr>
        <w:trPr/>
        <w:tc>
          <w:tcPr>
            <w:tcW w:w="2915" w:type="dxa"/>
            <w:tcBorders/>
            <w:vAlign w:val="center"/>
          </w:tcPr>
          <w:p>
            <w:pPr>
              <w:pStyle w:val="TableContents"/>
              <w:bidi w:val="0"/>
              <w:spacing w:before="0" w:after="283"/>
              <w:jc w:val="left"/>
              <w:rPr/>
            </w:pPr>
            <w:r>
              <w:rPr/>
              <w:t>“</w:t>
            </w:r>
            <w:r>
              <w:rPr>
                <w:sz w:val="20"/>
              </w:rPr>
              <w:t>Change of Control Payment Date”</w:t>
              <w:tab/>
            </w:r>
          </w:p>
        </w:tc>
        <w:tc>
          <w:tcPr>
            <w:tcW w:w="1025" w:type="dxa"/>
            <w:tcBorders/>
            <w:vAlign w:val="center"/>
          </w:tcPr>
          <w:p>
            <w:pPr>
              <w:pStyle w:val="TableContents"/>
              <w:bidi w:val="0"/>
              <w:spacing w:before="0" w:after="283"/>
              <w:jc w:val="center"/>
              <w:rPr>
                <w:sz w:val="20"/>
              </w:rPr>
            </w:pPr>
            <w:r>
              <w:rPr>
                <w:sz w:val="20"/>
              </w:rPr>
              <w:t>4.14</w:t>
            </w:r>
          </w:p>
        </w:tc>
      </w:tr>
      <w:tr>
        <w:trPr/>
        <w:tc>
          <w:tcPr>
            <w:tcW w:w="2915" w:type="dxa"/>
            <w:tcBorders/>
            <w:vAlign w:val="center"/>
          </w:tcPr>
          <w:p>
            <w:pPr>
              <w:pStyle w:val="TableContents"/>
              <w:bidi w:val="0"/>
              <w:spacing w:before="0" w:after="283"/>
              <w:jc w:val="left"/>
              <w:rPr/>
            </w:pPr>
            <w:r>
              <w:rPr/>
              <w:t>“</w:t>
            </w:r>
            <w:r>
              <w:rPr>
                <w:sz w:val="20"/>
              </w:rPr>
              <w:t>Covenant Defeasance”</w:t>
              <w:tab/>
            </w:r>
          </w:p>
        </w:tc>
        <w:tc>
          <w:tcPr>
            <w:tcW w:w="1025" w:type="dxa"/>
            <w:tcBorders/>
            <w:vAlign w:val="center"/>
          </w:tcPr>
          <w:p>
            <w:pPr>
              <w:pStyle w:val="TableContents"/>
              <w:bidi w:val="0"/>
              <w:spacing w:before="0" w:after="283"/>
              <w:jc w:val="center"/>
              <w:rPr>
                <w:sz w:val="20"/>
              </w:rPr>
            </w:pPr>
            <w:r>
              <w:rPr>
                <w:sz w:val="20"/>
              </w:rPr>
              <w:t>8.03</w:t>
            </w:r>
          </w:p>
        </w:tc>
      </w:tr>
      <w:tr>
        <w:trPr/>
        <w:tc>
          <w:tcPr>
            <w:tcW w:w="2915" w:type="dxa"/>
            <w:tcBorders/>
            <w:vAlign w:val="center"/>
          </w:tcPr>
          <w:p>
            <w:pPr>
              <w:pStyle w:val="TableContents"/>
              <w:bidi w:val="0"/>
              <w:spacing w:before="0" w:after="283"/>
              <w:jc w:val="left"/>
              <w:rPr/>
            </w:pPr>
            <w:r>
              <w:rPr/>
              <w:t>“</w:t>
            </w:r>
            <w:r>
              <w:rPr>
                <w:sz w:val="20"/>
              </w:rPr>
              <w:t>Covenant Suspension Event”</w:t>
              <w:tab/>
            </w:r>
          </w:p>
        </w:tc>
        <w:tc>
          <w:tcPr>
            <w:tcW w:w="1025" w:type="dxa"/>
            <w:tcBorders/>
            <w:vAlign w:val="center"/>
          </w:tcPr>
          <w:p>
            <w:pPr>
              <w:pStyle w:val="TableContents"/>
              <w:bidi w:val="0"/>
              <w:spacing w:before="0" w:after="283"/>
              <w:jc w:val="center"/>
              <w:rPr>
                <w:sz w:val="20"/>
              </w:rPr>
            </w:pPr>
            <w:r>
              <w:rPr>
                <w:sz w:val="20"/>
              </w:rPr>
              <w:t>4.16</w:t>
            </w:r>
          </w:p>
        </w:tc>
      </w:tr>
      <w:tr>
        <w:trPr/>
        <w:tc>
          <w:tcPr>
            <w:tcW w:w="2915" w:type="dxa"/>
            <w:tcBorders/>
            <w:vAlign w:val="center"/>
          </w:tcPr>
          <w:p>
            <w:pPr>
              <w:pStyle w:val="TableContents"/>
              <w:bidi w:val="0"/>
              <w:spacing w:before="0" w:after="283"/>
              <w:jc w:val="left"/>
              <w:rPr/>
            </w:pPr>
            <w:r>
              <w:rPr/>
              <w:t>“</w:t>
            </w:r>
            <w:r>
              <w:rPr>
                <w:sz w:val="20"/>
              </w:rPr>
              <w:t>Declined Excess Proceeds”</w:t>
              <w:tab/>
            </w:r>
          </w:p>
        </w:tc>
        <w:tc>
          <w:tcPr>
            <w:tcW w:w="1025" w:type="dxa"/>
            <w:tcBorders/>
            <w:vAlign w:val="center"/>
          </w:tcPr>
          <w:p>
            <w:pPr>
              <w:pStyle w:val="TableContents"/>
              <w:bidi w:val="0"/>
              <w:spacing w:before="0" w:after="283"/>
              <w:jc w:val="center"/>
              <w:rPr>
                <w:sz w:val="20"/>
              </w:rPr>
            </w:pPr>
            <w:r>
              <w:rPr>
                <w:sz w:val="20"/>
              </w:rPr>
              <w:t>4.10</w:t>
            </w:r>
          </w:p>
        </w:tc>
      </w:tr>
      <w:tr>
        <w:trPr/>
        <w:tc>
          <w:tcPr>
            <w:tcW w:w="2915" w:type="dxa"/>
            <w:tcBorders/>
            <w:vAlign w:val="center"/>
          </w:tcPr>
          <w:p>
            <w:pPr>
              <w:pStyle w:val="TableContents"/>
              <w:bidi w:val="0"/>
              <w:spacing w:before="0" w:after="283"/>
              <w:jc w:val="left"/>
              <w:rPr/>
            </w:pPr>
            <w:r>
              <w:rPr/>
              <w:t>“</w:t>
            </w:r>
            <w:r>
              <w:rPr>
                <w:sz w:val="20"/>
              </w:rPr>
              <w:t>DTC”</w:t>
              <w:tab/>
            </w:r>
          </w:p>
        </w:tc>
        <w:tc>
          <w:tcPr>
            <w:tcW w:w="1025" w:type="dxa"/>
            <w:tcBorders/>
            <w:vAlign w:val="center"/>
          </w:tcPr>
          <w:p>
            <w:pPr>
              <w:pStyle w:val="TableContents"/>
              <w:bidi w:val="0"/>
              <w:spacing w:before="0" w:after="283"/>
              <w:jc w:val="center"/>
              <w:rPr>
                <w:sz w:val="20"/>
              </w:rPr>
            </w:pPr>
            <w:r>
              <w:rPr>
                <w:sz w:val="20"/>
              </w:rPr>
              <w:t>2.03</w:t>
            </w:r>
          </w:p>
        </w:tc>
      </w:tr>
      <w:tr>
        <w:trPr/>
        <w:tc>
          <w:tcPr>
            <w:tcW w:w="2915" w:type="dxa"/>
            <w:tcBorders/>
            <w:vAlign w:val="center"/>
          </w:tcPr>
          <w:p>
            <w:pPr>
              <w:pStyle w:val="TableContents"/>
              <w:bidi w:val="0"/>
              <w:spacing w:before="0" w:after="283"/>
              <w:jc w:val="left"/>
              <w:rPr/>
            </w:pPr>
            <w:r>
              <w:rPr/>
              <w:t>“</w:t>
            </w:r>
            <w:r>
              <w:rPr>
                <w:sz w:val="20"/>
              </w:rPr>
              <w:t>Event of Default”</w:t>
              <w:tab/>
            </w:r>
          </w:p>
        </w:tc>
        <w:tc>
          <w:tcPr>
            <w:tcW w:w="1025" w:type="dxa"/>
            <w:tcBorders/>
            <w:vAlign w:val="center"/>
          </w:tcPr>
          <w:p>
            <w:pPr>
              <w:pStyle w:val="TableContents"/>
              <w:bidi w:val="0"/>
              <w:spacing w:before="0" w:after="283"/>
              <w:jc w:val="center"/>
              <w:rPr>
                <w:sz w:val="20"/>
              </w:rPr>
            </w:pPr>
            <w:r>
              <w:rPr>
                <w:sz w:val="20"/>
              </w:rPr>
              <w:t>6.01</w:t>
            </w:r>
          </w:p>
        </w:tc>
      </w:tr>
      <w:tr>
        <w:trPr/>
        <w:tc>
          <w:tcPr>
            <w:tcW w:w="2915" w:type="dxa"/>
            <w:tcBorders/>
            <w:vAlign w:val="center"/>
          </w:tcPr>
          <w:p>
            <w:pPr>
              <w:pStyle w:val="TableContents"/>
              <w:bidi w:val="0"/>
              <w:spacing w:before="0" w:after="283"/>
              <w:jc w:val="left"/>
              <w:rPr/>
            </w:pPr>
            <w:r>
              <w:rPr/>
              <w:t>“</w:t>
            </w:r>
            <w:r>
              <w:rPr>
                <w:sz w:val="20"/>
              </w:rPr>
              <w:t>Excess Proceeds”</w:t>
              <w:tab/>
            </w:r>
          </w:p>
        </w:tc>
        <w:tc>
          <w:tcPr>
            <w:tcW w:w="1025" w:type="dxa"/>
            <w:tcBorders/>
            <w:vAlign w:val="center"/>
          </w:tcPr>
          <w:p>
            <w:pPr>
              <w:pStyle w:val="TableContents"/>
              <w:bidi w:val="0"/>
              <w:spacing w:before="0" w:after="283"/>
              <w:jc w:val="center"/>
              <w:rPr>
                <w:sz w:val="20"/>
              </w:rPr>
            </w:pPr>
            <w:r>
              <w:rPr>
                <w:sz w:val="20"/>
              </w:rPr>
              <w:t>4.10</w:t>
            </w:r>
          </w:p>
        </w:tc>
      </w:tr>
      <w:tr>
        <w:trPr/>
        <w:tc>
          <w:tcPr>
            <w:tcW w:w="2915" w:type="dxa"/>
            <w:tcBorders/>
            <w:vAlign w:val="center"/>
          </w:tcPr>
          <w:p>
            <w:pPr>
              <w:pStyle w:val="TableContents"/>
              <w:bidi w:val="0"/>
              <w:spacing w:before="0" w:after="283"/>
              <w:jc w:val="left"/>
              <w:rPr/>
            </w:pPr>
            <w:r>
              <w:rPr/>
              <w:t>“</w:t>
            </w:r>
            <w:r>
              <w:rPr/>
              <w:t xml:space="preserve">Foreign </w:t>
            </w:r>
          </w:p>
        </w:tc>
        <w:tc>
          <w:tcPr>
            <w:tcW w:w="1025" w:type="dxa"/>
            <w:tcBorders/>
            <w:vAlign w:val="center"/>
          </w:tcPr>
          <w:p>
            <w:pPr>
              <w:pStyle w:val="TableContents"/>
              <w:bidi w:val="0"/>
              <w:spacing w:before="0" w:after="283"/>
              <w:jc w:val="center"/>
              <w:rPr/>
            </w:pPr>
            <w:r>
              <w:rPr/>
              <w:t xml:space="preserve">4.10 </w:t>
            </w:r>
          </w:p>
        </w:tc>
      </w:tr>
      <w:tr>
        <w:trPr/>
        <w:tc>
          <w:tcPr>
            <w:tcW w:w="2915" w:type="dxa"/>
            <w:tcBorders/>
            <w:vAlign w:val="center"/>
          </w:tcPr>
          <w:p>
            <w:pPr>
              <w:pStyle w:val="TableContents"/>
              <w:bidi w:val="0"/>
              <w:spacing w:before="0" w:after="283"/>
              <w:jc w:val="left"/>
              <w:rPr/>
            </w:pPr>
            <w:r>
              <w:rPr/>
              <w:t xml:space="preserve">Disposition” </w:t>
            </w:r>
          </w:p>
        </w:tc>
        <w:tc>
          <w:tcPr>
            <w:tcW w:w="1025" w:type="dxa"/>
            <w:tcBorders/>
            <w:vAlign w:val="center"/>
          </w:tcPr>
          <w:p>
            <w:pPr>
              <w:pStyle w:val="TableContents"/>
              <w:bidi w:val="0"/>
              <w:spacing w:before="0" w:after="283"/>
              <w:jc w:val="center"/>
              <w:rPr/>
            </w:pPr>
            <w:r>
              <w:rPr/>
              <w:t>4.12</w:t>
            </w:r>
          </w:p>
        </w:tc>
      </w:tr>
      <w:tr>
        <w:trPr/>
        <w:tc>
          <w:tcPr>
            <w:tcW w:w="291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 </w:t>
            </w:r>
          </w:p>
        </w:tc>
      </w:tr>
      <w:tr>
        <w:trPr/>
        <w:tc>
          <w:tcPr>
            <w:tcW w:w="2915" w:type="dxa"/>
            <w:tcBorders/>
            <w:vAlign w:val="center"/>
          </w:tcPr>
          <w:p>
            <w:pPr>
              <w:pStyle w:val="TableContents"/>
              <w:bidi w:val="0"/>
              <w:spacing w:before="0" w:after="283"/>
              <w:jc w:val="left"/>
              <w:rPr/>
            </w:pPr>
            <w:r>
              <w:rPr/>
              <w:t>“</w:t>
            </w:r>
            <w:r>
              <w:rPr/>
              <w:t>Increased Amount”</w:t>
            </w:r>
          </w:p>
        </w:tc>
        <w:tc>
          <w:tcPr>
            <w:tcW w:w="1025" w:type="dxa"/>
            <w:tcBorders/>
            <w:vAlign w:val="center"/>
          </w:tcPr>
          <w:p>
            <w:pPr>
              <w:pStyle w:val="TableContents"/>
              <w:bidi w:val="0"/>
              <w:spacing w:before="0" w:after="283"/>
              <w:jc w:val="center"/>
              <w:rPr/>
            </w:pPr>
            <w:r>
              <w:rPr/>
              <w:t> </w:t>
            </w:r>
          </w:p>
        </w:tc>
      </w:tr>
      <w:tr>
        <w:trPr/>
        <w:tc>
          <w:tcPr>
            <w:tcW w:w="291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 </w:t>
            </w:r>
          </w:p>
        </w:tc>
      </w:tr>
      <w:tr>
        <w:trPr/>
        <w:tc>
          <w:tcPr>
            <w:tcW w:w="2915" w:type="dxa"/>
            <w:tcBorders/>
            <w:vAlign w:val="center"/>
          </w:tcPr>
          <w:p>
            <w:pPr>
              <w:pStyle w:val="TableContents"/>
              <w:bidi w:val="0"/>
              <w:spacing w:before="0" w:after="283"/>
              <w:jc w:val="left"/>
              <w:rPr/>
            </w:pPr>
            <w:r>
              <w:rPr/>
              <w:t>“</w:t>
            </w:r>
            <w:r>
              <w:rPr>
                <w:sz w:val="20"/>
              </w:rPr>
              <w:t>incur” and “incurrence”</w:t>
              <w:tab/>
            </w:r>
          </w:p>
        </w:tc>
        <w:tc>
          <w:tcPr>
            <w:tcW w:w="1025" w:type="dxa"/>
            <w:tcBorders/>
            <w:vAlign w:val="center"/>
          </w:tcPr>
          <w:p>
            <w:pPr>
              <w:pStyle w:val="TableContents"/>
              <w:bidi w:val="0"/>
              <w:spacing w:before="0" w:after="283"/>
              <w:jc w:val="center"/>
              <w:rPr>
                <w:sz w:val="20"/>
              </w:rPr>
            </w:pPr>
            <w:r>
              <w:rPr>
                <w:sz w:val="20"/>
              </w:rPr>
              <w:t>4.09</w:t>
            </w:r>
          </w:p>
        </w:tc>
      </w:tr>
      <w:tr>
        <w:trPr/>
        <w:tc>
          <w:tcPr>
            <w:tcW w:w="2915" w:type="dxa"/>
            <w:tcBorders/>
            <w:vAlign w:val="center"/>
          </w:tcPr>
          <w:p>
            <w:pPr>
              <w:pStyle w:val="TableContents"/>
              <w:bidi w:val="0"/>
              <w:spacing w:before="0" w:after="283"/>
              <w:jc w:val="left"/>
              <w:rPr/>
            </w:pPr>
            <w:r>
              <w:rPr/>
              <w:t>“</w:t>
            </w:r>
            <w:r>
              <w:rPr>
                <w:sz w:val="20"/>
              </w:rPr>
              <w:t>Legal Defeasance”</w:t>
              <w:tab/>
            </w:r>
          </w:p>
        </w:tc>
        <w:tc>
          <w:tcPr>
            <w:tcW w:w="1025" w:type="dxa"/>
            <w:tcBorders/>
            <w:vAlign w:val="center"/>
          </w:tcPr>
          <w:p>
            <w:pPr>
              <w:pStyle w:val="TableContents"/>
              <w:bidi w:val="0"/>
              <w:spacing w:before="0" w:after="283"/>
              <w:jc w:val="center"/>
              <w:rPr>
                <w:sz w:val="20"/>
              </w:rPr>
            </w:pPr>
            <w:r>
              <w:rPr>
                <w:sz w:val="20"/>
              </w:rPr>
              <w:t>8.02</w:t>
            </w:r>
          </w:p>
        </w:tc>
      </w:tr>
      <w:tr>
        <w:trPr/>
        <w:tc>
          <w:tcPr>
            <w:tcW w:w="2915" w:type="dxa"/>
            <w:tcBorders/>
            <w:vAlign w:val="center"/>
          </w:tcPr>
          <w:p>
            <w:pPr>
              <w:pStyle w:val="TableContents"/>
              <w:bidi w:val="0"/>
              <w:spacing w:before="0" w:after="283"/>
              <w:jc w:val="left"/>
              <w:rPr/>
            </w:pPr>
            <w:r>
              <w:rPr/>
              <w:t>“</w:t>
            </w:r>
            <w:r>
              <w:rPr>
                <w:sz w:val="20"/>
              </w:rPr>
              <w:t>Note Register”</w:t>
              <w:tab/>
            </w:r>
          </w:p>
        </w:tc>
        <w:tc>
          <w:tcPr>
            <w:tcW w:w="1025" w:type="dxa"/>
            <w:tcBorders/>
            <w:vAlign w:val="center"/>
          </w:tcPr>
          <w:p>
            <w:pPr>
              <w:pStyle w:val="TableContents"/>
              <w:bidi w:val="0"/>
              <w:spacing w:before="0" w:after="283"/>
              <w:jc w:val="center"/>
              <w:rPr>
                <w:sz w:val="20"/>
              </w:rPr>
            </w:pPr>
            <w:r>
              <w:rPr>
                <w:sz w:val="20"/>
              </w:rPr>
              <w:t>2.03</w:t>
            </w:r>
          </w:p>
        </w:tc>
      </w:tr>
      <w:tr>
        <w:trPr/>
        <w:tc>
          <w:tcPr>
            <w:tcW w:w="2915" w:type="dxa"/>
            <w:tcBorders/>
            <w:vAlign w:val="center"/>
          </w:tcPr>
          <w:p>
            <w:pPr>
              <w:pStyle w:val="TableContents"/>
              <w:bidi w:val="0"/>
              <w:spacing w:before="0" w:after="283"/>
              <w:jc w:val="left"/>
              <w:rPr/>
            </w:pPr>
            <w:r>
              <w:rPr/>
              <w:t>“</w:t>
            </w:r>
            <w:r>
              <w:rPr>
                <w:sz w:val="20"/>
              </w:rPr>
              <w:t>Offer Amount”</w:t>
              <w:tab/>
            </w:r>
          </w:p>
        </w:tc>
        <w:tc>
          <w:tcPr>
            <w:tcW w:w="1025" w:type="dxa"/>
            <w:tcBorders/>
            <w:vAlign w:val="center"/>
          </w:tcPr>
          <w:p>
            <w:pPr>
              <w:pStyle w:val="TableContents"/>
              <w:bidi w:val="0"/>
              <w:spacing w:before="0" w:after="283"/>
              <w:jc w:val="center"/>
              <w:rPr>
                <w:sz w:val="20"/>
              </w:rPr>
            </w:pPr>
            <w:r>
              <w:rPr>
                <w:sz w:val="20"/>
              </w:rPr>
              <w:t>3.09</w:t>
            </w:r>
          </w:p>
        </w:tc>
      </w:tr>
      <w:tr>
        <w:trPr/>
        <w:tc>
          <w:tcPr>
            <w:tcW w:w="2915" w:type="dxa"/>
            <w:tcBorders/>
            <w:vAlign w:val="center"/>
          </w:tcPr>
          <w:p>
            <w:pPr>
              <w:pStyle w:val="TableContents"/>
              <w:bidi w:val="0"/>
              <w:spacing w:before="0" w:after="283"/>
              <w:jc w:val="left"/>
              <w:rPr/>
            </w:pPr>
            <w:r>
              <w:rPr/>
              <w:t>“</w:t>
            </w:r>
            <w:r>
              <w:rPr>
                <w:sz w:val="20"/>
              </w:rPr>
              <w:t>Offer Period”</w:t>
              <w:tab/>
            </w:r>
          </w:p>
        </w:tc>
        <w:tc>
          <w:tcPr>
            <w:tcW w:w="1025" w:type="dxa"/>
            <w:tcBorders/>
            <w:vAlign w:val="center"/>
          </w:tcPr>
          <w:p>
            <w:pPr>
              <w:pStyle w:val="TableContents"/>
              <w:bidi w:val="0"/>
              <w:spacing w:before="0" w:after="283"/>
              <w:jc w:val="center"/>
              <w:rPr>
                <w:sz w:val="20"/>
              </w:rPr>
            </w:pPr>
            <w:r>
              <w:rPr>
                <w:sz w:val="20"/>
              </w:rPr>
              <w:t>3.09</w:t>
            </w:r>
          </w:p>
        </w:tc>
      </w:tr>
      <w:tr>
        <w:trPr/>
        <w:tc>
          <w:tcPr>
            <w:tcW w:w="2915" w:type="dxa"/>
            <w:tcBorders/>
            <w:vAlign w:val="center"/>
          </w:tcPr>
          <w:p>
            <w:pPr>
              <w:pStyle w:val="TableContents"/>
              <w:bidi w:val="0"/>
              <w:spacing w:before="0" w:after="283"/>
              <w:jc w:val="left"/>
              <w:rPr/>
            </w:pPr>
            <w:r>
              <w:rPr/>
              <w:t>“</w:t>
            </w:r>
            <w:r>
              <w:rPr>
                <w:sz w:val="20"/>
              </w:rPr>
              <w:t>Pari Passu Indebtedness”</w:t>
              <w:tab/>
            </w:r>
          </w:p>
        </w:tc>
        <w:tc>
          <w:tcPr>
            <w:tcW w:w="1025" w:type="dxa"/>
            <w:tcBorders/>
            <w:vAlign w:val="center"/>
          </w:tcPr>
          <w:p>
            <w:pPr>
              <w:pStyle w:val="TableContents"/>
              <w:bidi w:val="0"/>
              <w:spacing w:before="0" w:after="283"/>
              <w:jc w:val="center"/>
              <w:rPr>
                <w:sz w:val="20"/>
              </w:rPr>
            </w:pPr>
            <w:r>
              <w:rPr>
                <w:sz w:val="20"/>
              </w:rPr>
              <w:t>4.10</w:t>
            </w:r>
          </w:p>
        </w:tc>
      </w:tr>
      <w:tr>
        <w:trPr/>
        <w:tc>
          <w:tcPr>
            <w:tcW w:w="2915" w:type="dxa"/>
            <w:tcBorders/>
            <w:vAlign w:val="center"/>
          </w:tcPr>
          <w:p>
            <w:pPr>
              <w:pStyle w:val="TableContents"/>
              <w:bidi w:val="0"/>
              <w:spacing w:before="0" w:after="283"/>
              <w:jc w:val="left"/>
              <w:rPr/>
            </w:pPr>
            <w:r>
              <w:rPr/>
              <w:t>“</w:t>
            </w:r>
            <w:r>
              <w:rPr>
                <w:sz w:val="20"/>
              </w:rPr>
              <w:t>Paying Agent”</w:t>
              <w:tab/>
            </w:r>
          </w:p>
        </w:tc>
        <w:tc>
          <w:tcPr>
            <w:tcW w:w="1025" w:type="dxa"/>
            <w:tcBorders/>
            <w:vAlign w:val="center"/>
          </w:tcPr>
          <w:p>
            <w:pPr>
              <w:pStyle w:val="TableContents"/>
              <w:bidi w:val="0"/>
              <w:spacing w:before="0" w:after="283"/>
              <w:jc w:val="center"/>
              <w:rPr>
                <w:sz w:val="20"/>
              </w:rPr>
            </w:pPr>
            <w:r>
              <w:rPr>
                <w:sz w:val="20"/>
              </w:rPr>
              <w:t>2.03</w:t>
            </w:r>
          </w:p>
        </w:tc>
      </w:tr>
      <w:tr>
        <w:trPr/>
        <w:tc>
          <w:tcPr>
            <w:tcW w:w="2915" w:type="dxa"/>
            <w:tcBorders/>
            <w:vAlign w:val="center"/>
          </w:tcPr>
          <w:p>
            <w:pPr>
              <w:pStyle w:val="TableContents"/>
              <w:bidi w:val="0"/>
              <w:spacing w:before="0" w:after="283"/>
              <w:jc w:val="left"/>
              <w:rPr/>
            </w:pPr>
            <w:r>
              <w:rPr/>
              <w:t>“</w:t>
            </w:r>
            <w:r>
              <w:rPr>
                <w:sz w:val="20"/>
              </w:rPr>
              <w:t>Permitted Holders”</w:t>
              <w:tab/>
            </w:r>
          </w:p>
        </w:tc>
        <w:tc>
          <w:tcPr>
            <w:tcW w:w="1025" w:type="dxa"/>
            <w:tcBorders/>
            <w:vAlign w:val="center"/>
          </w:tcPr>
          <w:p>
            <w:pPr>
              <w:pStyle w:val="TableContents"/>
              <w:bidi w:val="0"/>
              <w:spacing w:before="0" w:after="283"/>
              <w:jc w:val="center"/>
              <w:rPr>
                <w:sz w:val="20"/>
              </w:rPr>
            </w:pPr>
            <w:r>
              <w:rPr>
                <w:sz w:val="20"/>
              </w:rPr>
              <w:t>1.01</w:t>
            </w:r>
          </w:p>
        </w:tc>
      </w:tr>
      <w:tr>
        <w:trPr/>
        <w:tc>
          <w:tcPr>
            <w:tcW w:w="2915" w:type="dxa"/>
            <w:tcBorders/>
            <w:vAlign w:val="center"/>
          </w:tcPr>
          <w:p>
            <w:pPr>
              <w:pStyle w:val="TableContents"/>
              <w:bidi w:val="0"/>
              <w:spacing w:before="0" w:after="283"/>
              <w:jc w:val="left"/>
              <w:rPr/>
            </w:pPr>
            <w:r>
              <w:rPr/>
              <w:t>“</w:t>
            </w:r>
            <w:r>
              <w:rPr>
                <w:sz w:val="20"/>
              </w:rPr>
              <w:t>Purchase Date”</w:t>
              <w:tab/>
            </w:r>
          </w:p>
        </w:tc>
        <w:tc>
          <w:tcPr>
            <w:tcW w:w="1025" w:type="dxa"/>
            <w:tcBorders/>
            <w:vAlign w:val="center"/>
          </w:tcPr>
          <w:p>
            <w:pPr>
              <w:pStyle w:val="TableContents"/>
              <w:bidi w:val="0"/>
              <w:spacing w:before="0" w:after="283"/>
              <w:jc w:val="center"/>
              <w:rPr>
                <w:sz w:val="20"/>
              </w:rPr>
            </w:pPr>
            <w:r>
              <w:rPr>
                <w:sz w:val="20"/>
              </w:rPr>
              <w:t>3.09</w:t>
            </w:r>
          </w:p>
        </w:tc>
      </w:tr>
      <w:tr>
        <w:trPr/>
        <w:tc>
          <w:tcPr>
            <w:tcW w:w="2915" w:type="dxa"/>
            <w:tcBorders/>
            <w:vAlign w:val="center"/>
          </w:tcPr>
          <w:p>
            <w:pPr>
              <w:pStyle w:val="TableContents"/>
              <w:bidi w:val="0"/>
              <w:spacing w:before="0" w:after="283"/>
              <w:jc w:val="left"/>
              <w:rPr/>
            </w:pPr>
            <w:r>
              <w:rPr/>
              <w:t>“</w:t>
            </w:r>
            <w:r>
              <w:rPr>
                <w:sz w:val="20"/>
              </w:rPr>
              <w:t>Ratio Debt Test”</w:t>
              <w:tab/>
            </w:r>
          </w:p>
        </w:tc>
        <w:tc>
          <w:tcPr>
            <w:tcW w:w="1025" w:type="dxa"/>
            <w:tcBorders/>
            <w:vAlign w:val="center"/>
          </w:tcPr>
          <w:p>
            <w:pPr>
              <w:pStyle w:val="TableContents"/>
              <w:bidi w:val="0"/>
              <w:spacing w:before="0" w:after="283"/>
              <w:jc w:val="center"/>
              <w:rPr>
                <w:sz w:val="20"/>
              </w:rPr>
            </w:pPr>
            <w:r>
              <w:rPr>
                <w:sz w:val="20"/>
              </w:rPr>
              <w:t>4.09</w:t>
            </w:r>
          </w:p>
        </w:tc>
      </w:tr>
      <w:tr>
        <w:trPr/>
        <w:tc>
          <w:tcPr>
            <w:tcW w:w="2915" w:type="dxa"/>
            <w:tcBorders/>
            <w:vAlign w:val="center"/>
          </w:tcPr>
          <w:p>
            <w:pPr>
              <w:pStyle w:val="TableContents"/>
              <w:bidi w:val="0"/>
              <w:spacing w:before="0" w:after="283"/>
              <w:jc w:val="left"/>
              <w:rPr/>
            </w:pPr>
            <w:r>
              <w:rPr/>
              <w:t>“</w:t>
            </w:r>
            <w:r>
              <w:rPr>
                <w:sz w:val="20"/>
              </w:rPr>
              <w:t>Redemption Date”</w:t>
              <w:tab/>
            </w:r>
          </w:p>
        </w:tc>
        <w:tc>
          <w:tcPr>
            <w:tcW w:w="1025" w:type="dxa"/>
            <w:tcBorders/>
            <w:vAlign w:val="center"/>
          </w:tcPr>
          <w:p>
            <w:pPr>
              <w:pStyle w:val="TableContents"/>
              <w:bidi w:val="0"/>
              <w:spacing w:before="0" w:after="283"/>
              <w:jc w:val="center"/>
              <w:rPr>
                <w:sz w:val="20"/>
              </w:rPr>
            </w:pPr>
            <w:r>
              <w:rPr>
                <w:sz w:val="20"/>
              </w:rPr>
              <w:t>3.01</w:t>
            </w:r>
          </w:p>
        </w:tc>
      </w:tr>
      <w:tr>
        <w:trPr/>
        <w:tc>
          <w:tcPr>
            <w:tcW w:w="2915" w:type="dxa"/>
            <w:tcBorders/>
            <w:vAlign w:val="center"/>
          </w:tcPr>
          <w:p>
            <w:pPr>
              <w:pStyle w:val="TableContents"/>
              <w:bidi w:val="0"/>
              <w:spacing w:before="0" w:after="283"/>
              <w:jc w:val="left"/>
              <w:rPr/>
            </w:pPr>
            <w:r>
              <w:rPr/>
              <w:t>“</w:t>
            </w:r>
            <w:r>
              <w:rPr>
                <w:sz w:val="20"/>
              </w:rPr>
              <w:t>Refinancing Indebtedness”</w:t>
              <w:tab/>
            </w:r>
          </w:p>
        </w:tc>
        <w:tc>
          <w:tcPr>
            <w:tcW w:w="1025" w:type="dxa"/>
            <w:tcBorders/>
            <w:vAlign w:val="center"/>
          </w:tcPr>
          <w:p>
            <w:pPr>
              <w:pStyle w:val="TableContents"/>
              <w:bidi w:val="0"/>
              <w:spacing w:before="0" w:after="283"/>
              <w:jc w:val="center"/>
              <w:rPr>
                <w:sz w:val="20"/>
              </w:rPr>
            </w:pPr>
            <w:r>
              <w:rPr>
                <w:sz w:val="20"/>
              </w:rPr>
              <w:t>4.09</w:t>
            </w:r>
          </w:p>
        </w:tc>
      </w:tr>
      <w:tr>
        <w:trPr/>
        <w:tc>
          <w:tcPr>
            <w:tcW w:w="2915" w:type="dxa"/>
            <w:tcBorders/>
            <w:vAlign w:val="center"/>
          </w:tcPr>
          <w:p>
            <w:pPr>
              <w:pStyle w:val="TableContents"/>
              <w:bidi w:val="0"/>
              <w:spacing w:before="0" w:after="283"/>
              <w:jc w:val="left"/>
              <w:rPr/>
            </w:pPr>
            <w:r>
              <w:rPr/>
              <w:t>“</w:t>
            </w:r>
            <w:r>
              <w:rPr>
                <w:sz w:val="20"/>
              </w:rPr>
              <w:t>Refunding Capital Stock”</w:t>
              <w:tab/>
            </w:r>
          </w:p>
        </w:tc>
        <w:tc>
          <w:tcPr>
            <w:tcW w:w="1025" w:type="dxa"/>
            <w:tcBorders/>
            <w:vAlign w:val="center"/>
          </w:tcPr>
          <w:p>
            <w:pPr>
              <w:pStyle w:val="TableContents"/>
              <w:bidi w:val="0"/>
              <w:spacing w:before="0" w:after="283"/>
              <w:jc w:val="center"/>
              <w:rPr>
                <w:sz w:val="20"/>
              </w:rPr>
            </w:pPr>
            <w:r>
              <w:rPr>
                <w:sz w:val="20"/>
              </w:rPr>
              <w:t>4.07</w:t>
            </w:r>
          </w:p>
        </w:tc>
      </w:tr>
      <w:tr>
        <w:trPr/>
        <w:tc>
          <w:tcPr>
            <w:tcW w:w="2915" w:type="dxa"/>
            <w:tcBorders/>
            <w:vAlign w:val="center"/>
          </w:tcPr>
          <w:p>
            <w:pPr>
              <w:pStyle w:val="TableContents"/>
              <w:bidi w:val="0"/>
              <w:spacing w:before="0" w:after="283"/>
              <w:jc w:val="left"/>
              <w:rPr/>
            </w:pPr>
            <w:r>
              <w:rPr/>
              <w:t>“</w:t>
            </w:r>
            <w:r>
              <w:rPr>
                <w:sz w:val="20"/>
              </w:rPr>
              <w:t>Registrar”</w:t>
              <w:tab/>
            </w:r>
          </w:p>
        </w:tc>
        <w:tc>
          <w:tcPr>
            <w:tcW w:w="1025" w:type="dxa"/>
            <w:tcBorders/>
            <w:vAlign w:val="center"/>
          </w:tcPr>
          <w:p>
            <w:pPr>
              <w:pStyle w:val="TableContents"/>
              <w:bidi w:val="0"/>
              <w:spacing w:before="0" w:after="283"/>
              <w:jc w:val="center"/>
              <w:rPr>
                <w:sz w:val="20"/>
              </w:rPr>
            </w:pPr>
            <w:r>
              <w:rPr>
                <w:sz w:val="20"/>
              </w:rPr>
              <w:t>2.03</w:t>
            </w:r>
          </w:p>
        </w:tc>
      </w:tr>
      <w:tr>
        <w:trPr/>
        <w:tc>
          <w:tcPr>
            <w:tcW w:w="2915" w:type="dxa"/>
            <w:tcBorders/>
            <w:vAlign w:val="center"/>
          </w:tcPr>
          <w:p>
            <w:pPr>
              <w:pStyle w:val="TableContents"/>
              <w:bidi w:val="0"/>
              <w:spacing w:before="0" w:after="283"/>
              <w:jc w:val="left"/>
              <w:rPr/>
            </w:pPr>
            <w:r>
              <w:rPr/>
              <w:t>“</w:t>
            </w:r>
            <w:r>
              <w:rPr>
                <w:sz w:val="20"/>
              </w:rPr>
              <w:t>Reserved Indebtedness Amount”</w:t>
              <w:tab/>
            </w:r>
          </w:p>
        </w:tc>
        <w:tc>
          <w:tcPr>
            <w:tcW w:w="1025" w:type="dxa"/>
            <w:tcBorders/>
            <w:vAlign w:val="center"/>
          </w:tcPr>
          <w:p>
            <w:pPr>
              <w:pStyle w:val="TableContents"/>
              <w:bidi w:val="0"/>
              <w:spacing w:before="0" w:after="283"/>
              <w:jc w:val="center"/>
              <w:rPr>
                <w:sz w:val="20"/>
              </w:rPr>
            </w:pPr>
            <w:r>
              <w:rPr>
                <w:sz w:val="20"/>
              </w:rPr>
              <w:t>4.09</w:t>
            </w:r>
          </w:p>
        </w:tc>
      </w:tr>
      <w:tr>
        <w:trPr/>
        <w:tc>
          <w:tcPr>
            <w:tcW w:w="2915" w:type="dxa"/>
            <w:tcBorders/>
            <w:vAlign w:val="center"/>
          </w:tcPr>
          <w:p>
            <w:pPr>
              <w:pStyle w:val="TableContents"/>
              <w:bidi w:val="0"/>
              <w:spacing w:before="0" w:after="283"/>
              <w:jc w:val="left"/>
              <w:rPr/>
            </w:pPr>
            <w:r>
              <w:rPr/>
              <w:t>“</w:t>
            </w:r>
            <w:r>
              <w:rPr>
                <w:sz w:val="20"/>
              </w:rPr>
              <w:t>Restricted Payments”</w:t>
              <w:tab/>
            </w:r>
          </w:p>
        </w:tc>
        <w:tc>
          <w:tcPr>
            <w:tcW w:w="1025" w:type="dxa"/>
            <w:tcBorders/>
            <w:vAlign w:val="center"/>
          </w:tcPr>
          <w:p>
            <w:pPr>
              <w:pStyle w:val="TableContents"/>
              <w:bidi w:val="0"/>
              <w:spacing w:before="0" w:after="283"/>
              <w:jc w:val="center"/>
              <w:rPr>
                <w:sz w:val="20"/>
              </w:rPr>
            </w:pPr>
            <w:r>
              <w:rPr>
                <w:sz w:val="20"/>
              </w:rPr>
              <w:t>4.07</w:t>
            </w:r>
          </w:p>
        </w:tc>
      </w:tr>
      <w:tr>
        <w:trPr/>
        <w:tc>
          <w:tcPr>
            <w:tcW w:w="2915" w:type="dxa"/>
            <w:tcBorders/>
            <w:vAlign w:val="center"/>
          </w:tcPr>
          <w:p>
            <w:pPr>
              <w:pStyle w:val="TableContents"/>
              <w:bidi w:val="0"/>
              <w:spacing w:before="0" w:after="283"/>
              <w:jc w:val="left"/>
              <w:rPr/>
            </w:pPr>
            <w:r>
              <w:rPr/>
              <w:t>“</w:t>
            </w:r>
            <w:r>
              <w:rPr>
                <w:sz w:val="20"/>
              </w:rPr>
              <w:t>Reversion Date”</w:t>
              <w:tab/>
            </w:r>
          </w:p>
        </w:tc>
        <w:tc>
          <w:tcPr>
            <w:tcW w:w="1025" w:type="dxa"/>
            <w:tcBorders/>
            <w:vAlign w:val="center"/>
          </w:tcPr>
          <w:p>
            <w:pPr>
              <w:pStyle w:val="TableContents"/>
              <w:bidi w:val="0"/>
              <w:spacing w:before="0" w:after="283"/>
              <w:jc w:val="center"/>
              <w:rPr>
                <w:sz w:val="20"/>
              </w:rPr>
            </w:pPr>
            <w:r>
              <w:rPr>
                <w:sz w:val="20"/>
              </w:rPr>
              <w:t>4.16</w:t>
            </w:r>
          </w:p>
        </w:tc>
      </w:tr>
      <w:tr>
        <w:trPr/>
        <w:tc>
          <w:tcPr>
            <w:tcW w:w="2915" w:type="dxa"/>
            <w:tcBorders/>
            <w:vAlign w:val="center"/>
          </w:tcPr>
          <w:p>
            <w:pPr>
              <w:pStyle w:val="TableContents"/>
              <w:bidi w:val="0"/>
              <w:spacing w:before="0" w:after="283"/>
              <w:jc w:val="left"/>
              <w:rPr/>
            </w:pPr>
            <w:r>
              <w:rPr/>
              <w:t>“</w:t>
            </w:r>
            <w:r>
              <w:rPr>
                <w:sz w:val="20"/>
              </w:rPr>
              <w:t>Second Commitment”</w:t>
              <w:tab/>
            </w:r>
          </w:p>
        </w:tc>
        <w:tc>
          <w:tcPr>
            <w:tcW w:w="1025" w:type="dxa"/>
            <w:tcBorders/>
            <w:vAlign w:val="center"/>
          </w:tcPr>
          <w:p>
            <w:pPr>
              <w:pStyle w:val="TableContents"/>
              <w:bidi w:val="0"/>
              <w:spacing w:before="0" w:after="283"/>
              <w:jc w:val="center"/>
              <w:rPr>
                <w:sz w:val="20"/>
              </w:rPr>
            </w:pPr>
            <w:r>
              <w:rPr>
                <w:sz w:val="20"/>
              </w:rPr>
              <w:t>4.10</w:t>
            </w:r>
          </w:p>
        </w:tc>
      </w:tr>
      <w:tr>
        <w:trPr/>
        <w:tc>
          <w:tcPr>
            <w:tcW w:w="2915" w:type="dxa"/>
            <w:tcBorders/>
            <w:vAlign w:val="center"/>
          </w:tcPr>
          <w:p>
            <w:pPr>
              <w:pStyle w:val="TableContents"/>
              <w:bidi w:val="0"/>
              <w:spacing w:before="0" w:after="283"/>
              <w:jc w:val="left"/>
              <w:rPr/>
            </w:pPr>
            <w:r>
              <w:rPr/>
              <w:t>“</w:t>
            </w:r>
            <w:r>
              <w:rPr>
                <w:sz w:val="20"/>
              </w:rPr>
              <w:t>Successor Company”</w:t>
              <w:tab/>
            </w:r>
          </w:p>
        </w:tc>
        <w:tc>
          <w:tcPr>
            <w:tcW w:w="1025" w:type="dxa"/>
            <w:tcBorders/>
            <w:vAlign w:val="center"/>
          </w:tcPr>
          <w:p>
            <w:pPr>
              <w:pStyle w:val="TableContents"/>
              <w:bidi w:val="0"/>
              <w:spacing w:before="0" w:after="283"/>
              <w:jc w:val="center"/>
              <w:rPr>
                <w:sz w:val="20"/>
              </w:rPr>
            </w:pPr>
            <w:r>
              <w:rPr>
                <w:sz w:val="20"/>
              </w:rPr>
              <w:t>5.01</w:t>
            </w:r>
          </w:p>
        </w:tc>
      </w:tr>
      <w:tr>
        <w:trPr/>
        <w:tc>
          <w:tcPr>
            <w:tcW w:w="2915" w:type="dxa"/>
            <w:tcBorders/>
            <w:vAlign w:val="center"/>
          </w:tcPr>
          <w:p>
            <w:pPr>
              <w:pStyle w:val="TableContents"/>
              <w:bidi w:val="0"/>
              <w:spacing w:before="0" w:after="283"/>
              <w:jc w:val="left"/>
              <w:rPr/>
            </w:pPr>
            <w:r>
              <w:rPr/>
              <w:t>“</w:t>
            </w:r>
            <w:r>
              <w:rPr>
                <w:sz w:val="20"/>
              </w:rPr>
              <w:t>Successor Person”</w:t>
              <w:tab/>
            </w:r>
          </w:p>
        </w:tc>
        <w:tc>
          <w:tcPr>
            <w:tcW w:w="1025" w:type="dxa"/>
            <w:tcBorders/>
            <w:vAlign w:val="center"/>
          </w:tcPr>
          <w:p>
            <w:pPr>
              <w:pStyle w:val="TableContents"/>
              <w:bidi w:val="0"/>
              <w:spacing w:before="0" w:after="283"/>
              <w:jc w:val="center"/>
              <w:rPr>
                <w:sz w:val="20"/>
              </w:rPr>
            </w:pPr>
            <w:r>
              <w:rPr>
                <w:sz w:val="20"/>
              </w:rPr>
              <w:t>5.01</w:t>
            </w:r>
          </w:p>
        </w:tc>
      </w:tr>
      <w:tr>
        <w:trPr/>
        <w:tc>
          <w:tcPr>
            <w:tcW w:w="2915" w:type="dxa"/>
            <w:tcBorders/>
            <w:vAlign w:val="center"/>
          </w:tcPr>
          <w:p>
            <w:pPr>
              <w:pStyle w:val="TableContents"/>
              <w:bidi w:val="0"/>
              <w:spacing w:before="0" w:after="283"/>
              <w:jc w:val="left"/>
              <w:rPr/>
            </w:pPr>
            <w:r>
              <w:rPr/>
              <w:t>“</w:t>
            </w:r>
            <w:r>
              <w:rPr>
                <w:sz w:val="20"/>
              </w:rPr>
              <w:t>Suspended Covenants”</w:t>
              <w:tab/>
            </w:r>
          </w:p>
        </w:tc>
        <w:tc>
          <w:tcPr>
            <w:tcW w:w="1025" w:type="dxa"/>
            <w:tcBorders/>
            <w:vAlign w:val="center"/>
          </w:tcPr>
          <w:p>
            <w:pPr>
              <w:pStyle w:val="TableContents"/>
              <w:bidi w:val="0"/>
              <w:spacing w:before="0" w:after="283"/>
              <w:jc w:val="center"/>
              <w:rPr>
                <w:sz w:val="20"/>
              </w:rPr>
            </w:pPr>
            <w:r>
              <w:rPr>
                <w:sz w:val="20"/>
              </w:rPr>
              <w:t>4.16</w:t>
            </w:r>
          </w:p>
        </w:tc>
      </w:tr>
      <w:tr>
        <w:trPr/>
        <w:tc>
          <w:tcPr>
            <w:tcW w:w="2915" w:type="dxa"/>
            <w:tcBorders/>
            <w:vAlign w:val="center"/>
          </w:tcPr>
          <w:p>
            <w:pPr>
              <w:pStyle w:val="TableContents"/>
              <w:bidi w:val="0"/>
              <w:spacing w:before="0" w:after="283"/>
              <w:jc w:val="left"/>
              <w:rPr/>
            </w:pPr>
            <w:r>
              <w:rPr/>
              <w:t>“</w:t>
            </w:r>
            <w:r>
              <w:rPr>
                <w:sz w:val="20"/>
              </w:rPr>
              <w:t>Suspension Date”</w:t>
              <w:tab/>
            </w:r>
          </w:p>
        </w:tc>
        <w:tc>
          <w:tcPr>
            <w:tcW w:w="1025" w:type="dxa"/>
            <w:tcBorders/>
            <w:vAlign w:val="center"/>
          </w:tcPr>
          <w:p>
            <w:pPr>
              <w:pStyle w:val="TableContents"/>
              <w:bidi w:val="0"/>
              <w:spacing w:before="0" w:after="283"/>
              <w:jc w:val="center"/>
              <w:rPr>
                <w:sz w:val="20"/>
              </w:rPr>
            </w:pPr>
            <w:r>
              <w:rPr>
                <w:sz w:val="20"/>
              </w:rPr>
              <w:t>4.16</w:t>
            </w:r>
          </w:p>
        </w:tc>
      </w:tr>
      <w:tr>
        <w:trPr/>
        <w:tc>
          <w:tcPr>
            <w:tcW w:w="2915" w:type="dxa"/>
            <w:tcBorders/>
            <w:vAlign w:val="center"/>
          </w:tcPr>
          <w:p>
            <w:pPr>
              <w:pStyle w:val="TableContents"/>
              <w:bidi w:val="0"/>
              <w:spacing w:before="0" w:after="283"/>
              <w:jc w:val="left"/>
              <w:rPr/>
            </w:pPr>
            <w:r>
              <w:rPr/>
              <w:t>“</w:t>
            </w:r>
            <w:r>
              <w:rPr>
                <w:sz w:val="20"/>
              </w:rPr>
              <w:t>Suspension Period”</w:t>
              <w:tab/>
            </w:r>
          </w:p>
        </w:tc>
        <w:tc>
          <w:tcPr>
            <w:tcW w:w="1025" w:type="dxa"/>
            <w:tcBorders/>
            <w:vAlign w:val="center"/>
          </w:tcPr>
          <w:p>
            <w:pPr>
              <w:pStyle w:val="TableContents"/>
              <w:bidi w:val="0"/>
              <w:spacing w:before="0" w:after="283"/>
              <w:jc w:val="center"/>
              <w:rPr>
                <w:sz w:val="20"/>
              </w:rPr>
            </w:pPr>
            <w:r>
              <w:rPr>
                <w:sz w:val="20"/>
              </w:rPr>
              <w:t>4.16</w:t>
            </w:r>
          </w:p>
        </w:tc>
      </w:tr>
      <w:tr>
        <w:trPr/>
        <w:tc>
          <w:tcPr>
            <w:tcW w:w="2915" w:type="dxa"/>
            <w:tcBorders/>
            <w:vAlign w:val="center"/>
          </w:tcPr>
          <w:p>
            <w:pPr>
              <w:pStyle w:val="TableContents"/>
              <w:bidi w:val="0"/>
              <w:spacing w:before="0" w:after="283"/>
              <w:jc w:val="left"/>
              <w:rPr/>
            </w:pPr>
            <w:r>
              <w:rPr/>
              <w:t>“</w:t>
            </w:r>
            <w:r>
              <w:rPr>
                <w:sz w:val="20"/>
              </w:rPr>
              <w:t>Transfer Agent”</w:t>
              <w:tab/>
            </w:r>
          </w:p>
        </w:tc>
        <w:tc>
          <w:tcPr>
            <w:tcW w:w="1025" w:type="dxa"/>
            <w:tcBorders/>
            <w:vAlign w:val="center"/>
          </w:tcPr>
          <w:p>
            <w:pPr>
              <w:pStyle w:val="TableContents"/>
              <w:bidi w:val="0"/>
              <w:spacing w:before="0" w:after="283"/>
              <w:jc w:val="center"/>
              <w:rPr>
                <w:sz w:val="20"/>
              </w:rPr>
            </w:pPr>
            <w:r>
              <w:rPr>
                <w:sz w:val="20"/>
              </w:rPr>
              <w:t>2.03</w:t>
            </w:r>
          </w:p>
        </w:tc>
      </w:tr>
      <w:tr>
        <w:trPr/>
        <w:tc>
          <w:tcPr>
            <w:tcW w:w="2915" w:type="dxa"/>
            <w:tcBorders/>
            <w:vAlign w:val="center"/>
          </w:tcPr>
          <w:p>
            <w:pPr>
              <w:pStyle w:val="TableContents"/>
              <w:bidi w:val="0"/>
              <w:spacing w:before="0" w:after="283"/>
              <w:jc w:val="left"/>
              <w:rPr/>
            </w:pPr>
            <w:r>
              <w:rPr/>
              <w:t>“</w:t>
            </w:r>
            <w:r>
              <w:rPr>
                <w:sz w:val="20"/>
              </w:rPr>
              <w:t>Treasury Capital Stock”</w:t>
              <w:tab/>
            </w:r>
          </w:p>
        </w:tc>
        <w:tc>
          <w:tcPr>
            <w:tcW w:w="1025" w:type="dxa"/>
            <w:tcBorders/>
            <w:vAlign w:val="center"/>
          </w:tcPr>
          <w:p>
            <w:pPr>
              <w:pStyle w:val="TableContents"/>
              <w:bidi w:val="0"/>
              <w:spacing w:before="0" w:after="283"/>
              <w:jc w:val="center"/>
              <w:rPr>
                <w:sz w:val="20"/>
              </w:rPr>
            </w:pPr>
            <w:r>
              <w:rPr>
                <w:sz w:val="20"/>
              </w:rPr>
              <w:t>4.07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1.03.          </w:t>
      </w:r>
      <w:r>
        <w:rPr>
          <w:rFonts w:ascii="Times New Roman;Times;Serif" w:hAnsi="Times New Roman;Times;Serif"/>
          <w:b w:val="false"/>
          <w:i/>
          <w:caps w:val="false"/>
          <w:smallCaps w:val="false"/>
          <w:sz w:val="20"/>
        </w:rPr>
        <w:t>No Incorporation by Reference of Trust Indenture Act</w:t>
      </w:r>
      <w:r>
        <w:rPr>
          <w:rFonts w:ascii="Times New Roman;Times;Serif" w:hAnsi="Times New Roman;Times;Serif"/>
          <w:b w:val="false"/>
          <w:i w:val="false"/>
          <w:caps w:val="false"/>
          <w:smallCaps w:val="false"/>
          <w:sz w:val="20"/>
        </w:rPr>
        <w:t>. This Indenture is not qualified under the Trust Indenture Act, and the Trust Indenture Act shall not apply to or in any way govern the terms of this Indenture. As a result, no provisions of the Trust Indenture Act are incorporated into this Indenture unless expressly incorporated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1.04.         </w:t>
      </w:r>
      <w:r>
        <w:rPr>
          <w:rFonts w:ascii="Times New Roman;Times;Serif" w:hAnsi="Times New Roman;Times;Serif"/>
          <w:b w:val="false"/>
          <w:i/>
          <w:caps w:val="false"/>
          <w:smallCaps w:val="false"/>
          <w:sz w:val="20"/>
        </w:rPr>
        <w:t>Rules of Construction</w:t>
      </w:r>
      <w:r>
        <w:rPr>
          <w:rFonts w:ascii="Times New Roman;Times;Serif" w:hAnsi="Times New Roman;Times;Serif"/>
          <w:b w:val="false"/>
          <w:i w:val="false"/>
          <w:caps w:val="false"/>
          <w:smallCaps w:val="false"/>
          <w:sz w:val="20"/>
        </w:rPr>
        <w:t>.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term has the meaning assigned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accounting term not otherwise defined has the meaning assigned to it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“or” is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words “including,” “includes” and similar words shall be deemed to be followed by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words in the singular include the plural, and in the plural include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“will” shall be interpreted to express a command;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provisions apply to successive events and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references to sections of, or rules under, the Securities Act or the Exchange Act shall be deemed to include substitute, replacement or successor sections or rules adopted by the SEC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unless the context otherwise requires, any reference to an “Article,” “Section” or “clause” refers to an Article, Section or clause, as the case may be,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words “herein,” “hereof” and “hereunder” and other words of similar import refer to this Indenture as a whole and not any particular Article, Section, clause or other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principal amount of any non-interest bearing or other discount security at any date shall be the principal amount thereof that would be shown on a balance sheet of the Issuer dated such date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words used herein implying any gender shall apply to both genders;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 the computation of periods of time from a specified date to a later specified date, the word “from” means “from and including”; the words “to” and “until” each mean “to but excluding” and the word “through” means “to and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1.05.         </w:t>
      </w:r>
      <w:r>
        <w:rPr>
          <w:rFonts w:ascii="Times New Roman;Times;Serif" w:hAnsi="Times New Roman;Times;Serif"/>
          <w:b w:val="false"/>
          <w:i/>
          <w:caps w:val="false"/>
          <w:smallCaps w:val="false"/>
          <w:sz w:val="20"/>
        </w:rPr>
        <w:t>Acts of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are delivered to the Trustee and, where it is hereby expressly required, to the Issuer. Proof of execution of any such instrument or of a writing appointing any such agent, or the holding by any Person of a Note, shall be sufficient for any purpose of this Indenture and (subject to Section 7.01 hereof) conclusive in favor of the Trustee and the Issuer, if made in the manner provided in this Section 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ownership of Notes shall be proved by the Note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Trustee or the Issuer in reliance thereon, whether or not notation of such action is made upon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Issuer may set a record date for purposes of determining the identity of Holders entitled to give any request, demand, authorization, direction, notice, consent, waiver or take any other act, or to vote or consent to any action by vote or consent authorized or permitted to be given or taken by Holders. Unless otherwise specified, if not set by the Issuer prior to the first solicitation of a Holder made by any Person in respect of any such action, or in the case of any such vote, prior to such vote, any such record date shall be the later of 10 days prior to the first solicitation of such consent or the date of the most recent list of Holders furnished to the Trustee prior to such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Section 1.05(f) shall have the same effect as if given or taken by separate Holders of each such different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Without limiting the generality of the foregoing, a Holder, including DTC, that is a Holder of a Global Note, may make, give or take, by a proxy or proxies duly appointed in writing, any request, demand, authorization, direction, notice, consent, waiver or other action provided in this Indenture to be made, given or taken by Holders, and any Person, that is a Holder of a Global Note, including DTC, may provide its proxy or proxies to the beneficial owners of interests in any such Global Note through such Depositary’s standing instructions and customary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Issuer may fix a record date for the purpose of determining the Persons who are beneficial owners of interests in any Global Note held by DTC entitled under the procedures of such Depositary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2</w:t>
      </w:r>
      <w:r>
        <w:rPr>
          <w:rFonts w:ascii="Times New Roman;Times;Serif" w:hAnsi="Times New Roman;Times;Serif"/>
          <w:b w:val="false"/>
          <w:i w:val="false"/>
          <w:smallCaps/>
          <w:sz w:val="20"/>
        </w:rPr>
        <w:br/>
        <w:t>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2.01.</w:t>
        <w:tab/>
        <w:t>     </w:t>
      </w:r>
      <w:r>
        <w:rPr>
          <w:rFonts w:ascii="Times New Roman;Times;Serif" w:hAnsi="Times New Roman;Times;Serif"/>
          <w:b w:val="false"/>
          <w:i/>
          <w:caps w:val="false"/>
          <w:smallCaps w:val="false"/>
          <w:sz w:val="20"/>
        </w:rPr>
        <w:t>Form and Dating; Terms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The Notes and the Trustee’s certificate of authentication shall be substantially in the form of Exhibit A. The Notes may have notations, legends or endorsements required by law, stock exchange rules or usage. Each Note shall be dated the date of its authentication. The Notes shall be issued in minimum denominations of $2,000 and any integral multiples of $1,000 in excess of $2,000.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Notes issued in global form shall be substantially in the form of Exhibit A hereto (including the Global Note Legend thereon and the “Schedule of Exchanges of Interests in the Global Note” attached thereto). Notes issued in definitive form shall be substantially in the form of Exhibit A hereto (but without the Global Note Legend thereon and without the “Schedule of Exchanges of Interests in the Global Note” attached thereto). Each Global Note shall represent such of the outstanding Notes as shall be specified in the “Schedule of Exchanges of Interests in the Global Note” attached thereto and each shall provide that it shall represent up to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Temporary Global Notes</w:t>
      </w:r>
      <w:r>
        <w:rPr>
          <w:rFonts w:ascii="Times New Roman;Times;Serif" w:hAnsi="Times New Roman;Times;Serif"/>
          <w:b w:val="false"/>
          <w:i w:val="false"/>
          <w:caps w:val="false"/>
          <w:smallCaps w:val="false"/>
          <w:sz w:val="20"/>
        </w:rPr>
        <w:t>. Notes offered and sold in reliance on Regulation S shall be issued initially in the form of the Regulation S Temporary Global Note, which shall be deposited on behalf of the purchasers of the Notes represented thereby with the Custodian and registered in the name of the Depositary or the nominee of the Depositary for the accounts of designated agents holding on behalf of Euroclear or Clearstream, duly executed by the Issuer and authenticated by the Trustee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(i) the termination of the applicable Restricted Period and (ii) the receipt by the Trustee of (A) a certification or other evidence in a form reasonably acceptable to the Issuer of non-United States beneficial ownership of 100% of the aggregate principal amount of each Regulation S Temporary Global Note (except to the extent of any beneficial owners thereof who acquired an interest therein during the Restricted Period pursuant to another exemption from registration under the Securities Act and who shall take delivery of a beneficial ownership interest in a 144A Global Note bearing a Private Placement Legend, all as contemplated by Section 2.06(b) hereof) and (B) an Officer’s Certificate from the Issuer, the Trustee shall remove the Regulation S Temporary Global Note Legend from the Regulation S Temporary Global Note, following which temporary beneficial interests in the Regulation S Temporary Global Note shall automatically become beneficial interests in the Regulation S Permanent Global Note pursuant to the Applicable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a Regulation S Temporary Global Note and a Regulation S Permanent Global Note may from time to time be increased or decreased by adjustments made on the records of the Trustee and the Depositary or its nominee, as the case may be, in connection with transfers of interest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Terms</w:t>
      </w:r>
      <w:r>
        <w:rPr>
          <w:rFonts w:ascii="Times New Roman;Times;Serif" w:hAnsi="Times New Roman;Times;Serif"/>
          <w:b w:val="false"/>
          <w:i w:val="false"/>
          <w:caps w:val="false"/>
          <w:smallCaps w:val="false"/>
          <w:sz w:val="20"/>
        </w:rPr>
        <w:t>. The aggregate principal amount of Notes that may be authenticated and delivered under this Indenture is unlimited.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provisions contained in the Notes shall constitute, and are hereby expressly made, a part of this Indenture and the Issuer, the Guarantors from time to time party hereto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shall be subject to repurchase by the Issuer pursuant to an Asset Sale Offer as provided in Section 4.10 hereof or a Change of Control Offer as provided in Section 4.14 hereof. The Notes shall not be redeemable, other than as provided in Article 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 Notes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Initial Notes may be created and issued from time to time by the Issuer without notice to or consent of the Holders and shall be consolidated with and form a single class with the Initial Notes and shall have the same terms as to status, redemption or otherwise as the Initial Notes except that interest may accrue on the Additional Notes from their date of issuance (or such other date specified by the Issuer);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Issuer’s ability to issue Additional Notes shall be subject to the Issuer’s compliance with Section 4.09 hereof. Any Additional Notes may be issued with the benefit of an indenture supplemental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Additional Notes are not fungible with any other Notes for United States federal income tax purposes or if the Issuer otherwise determines that any Additional Notes should be differentiated from any other Notes, such Additional Notes may have a separate CUSIP number;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such Additional Notes will still constitute a single series with all other Notes issued under this Indenture for all other purposes except for the first payment of interest following the issue date of such 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Euroclear and Clearstream Applicable Procedures</w:t>
      </w:r>
      <w:r>
        <w:rPr>
          <w:rFonts w:ascii="Times New Roman;Times;Serif" w:hAnsi="Times New Roman;Times;Serif"/>
          <w:b w:val="false"/>
          <w:i w:val="false"/>
          <w:caps w:val="false"/>
          <w:smallCaps w:val="false"/>
          <w:sz w:val="20"/>
        </w:rPr>
        <w:t>. The provisions of the “Operating Procedures of the Euroclear System” and “Terms and Conditions Governing Use of Euroclear” and the “General Terms and Conditions of Clearstream Banking” and “Customer Handbook” of Clearstream shall be applicable to transfers of beneficial interests in the Regulation S Temporary Global Note and the Regulation S Permanent Global Notes that are held by Participants through Euroclear or Clearstream.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2.02.</w:t>
        <w:tab/>
        <w:t>     </w:t>
      </w:r>
      <w:r>
        <w:rPr>
          <w:rFonts w:ascii="Times New Roman;Times;Serif" w:hAnsi="Times New Roman;Times;Serif"/>
          <w:b w:val="false"/>
          <w:i/>
          <w:caps w:val="false"/>
          <w:smallCaps w:val="false"/>
          <w:sz w:val="20"/>
        </w:rPr>
        <w:t>Execution and Authentication</w:t>
      </w:r>
      <w:r>
        <w:rPr>
          <w:rFonts w:ascii="Times New Roman;Times;Serif" w:hAnsi="Times New Roman;Times;Serif"/>
          <w:b w:val="false"/>
          <w:i w:val="false"/>
          <w:caps w:val="false"/>
          <w:smallCaps w:val="false"/>
          <w:sz w:val="20"/>
        </w:rPr>
        <w:t>. At least one Officer of the Issuer shall execute the Notes on behalf of the Issuer by manual, facsimile or electronic (including “.pdf”)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of the Issuer whose signature is on a Note no longer holds that office at the time the Trustee authenticates the Note, the Note shall nevertheless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Note shall not be entitled to any benefit under this Indenture or be valid or obligatory for any purpose until authenticated substantially in the form of Exhibit A, by the manual signature of the Trustee. The signature shall be conclusive evidence that the Note has been duly authenticated and delivered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Issue Date, the Trustee shall, upon receipt of an Issuer’s Order (an “</w:t>
      </w:r>
      <w:r>
        <w:rPr>
          <w:rFonts w:ascii="Times New Roman;Times;Serif" w:hAnsi="Times New Roman;Times;Serif"/>
          <w:b/>
          <w:i w:val="false"/>
          <w:caps w:val="false"/>
          <w:smallCaps w:val="false"/>
          <w:sz w:val="20"/>
        </w:rPr>
        <w:t>Authentication Order</w:t>
      </w:r>
      <w:r>
        <w:rPr>
          <w:rFonts w:ascii="Times New Roman;Times;Serif" w:hAnsi="Times New Roman;Times;Serif"/>
          <w:b w:val="false"/>
          <w:i w:val="false"/>
          <w:caps w:val="false"/>
          <w:smallCaps w:val="false"/>
          <w:sz w:val="20"/>
        </w:rPr>
        <w:t>”), authenticate and deliver the Initial Notes in the aggregate principal amount or amounts specified in such Authentication Order. In addition, at any time, from time to time, the Trustee shall, upon receipt of an Authentication Order, authenticate and deliver any Additional Notes for an aggregate principal amount specified in such Authentication Order for such Additional Notes issued or increased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2.03.</w:t>
        <w:tab/>
        <w:t>     </w:t>
      </w:r>
      <w:r>
        <w:rPr>
          <w:rFonts w:ascii="Times New Roman;Times;Serif" w:hAnsi="Times New Roman;Times;Serif"/>
          <w:b w:val="false"/>
          <w:i/>
          <w:caps w:val="false"/>
          <w:smallCaps w:val="false"/>
          <w:sz w:val="20"/>
        </w:rPr>
        <w:t>Registrar, Transfer Agent and Paying Agent</w:t>
      </w:r>
      <w:r>
        <w:rPr>
          <w:rFonts w:ascii="Times New Roman;Times;Serif" w:hAnsi="Times New Roman;Times;Serif"/>
          <w:b w:val="false"/>
          <w:i w:val="false"/>
          <w:caps w:val="false"/>
          <w:smallCaps w:val="false"/>
          <w:sz w:val="20"/>
        </w:rPr>
        <w:t>. The Issuer shall maintain (i) an office or agency where Notes may be presented for registration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 (ii) an office or agency where Notes may be presented for transfer or for exchange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and (iii) an office or agency where Notes may be presented for payment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The Registrar shall keep a register of the Notes (“</w:t>
      </w:r>
      <w:r>
        <w:rPr>
          <w:rFonts w:ascii="Times New Roman;Times;Serif" w:hAnsi="Times New Roman;Times;Serif"/>
          <w:b/>
          <w:i w:val="false"/>
          <w:caps w:val="false"/>
          <w:smallCaps w:val="false"/>
          <w:sz w:val="20"/>
        </w:rPr>
        <w:t>Note Register</w:t>
      </w:r>
      <w:r>
        <w:rPr>
          <w:rFonts w:ascii="Times New Roman;Times;Serif" w:hAnsi="Times New Roman;Times;Serif"/>
          <w:b w:val="false"/>
          <w:i w:val="false"/>
          <w:caps w:val="false"/>
          <w:smallCaps w:val="false"/>
          <w:sz w:val="20"/>
        </w:rPr>
        <w:t>”) and of their transfer and exchange. The registered Holder of a Note will be treated as the owner of such Note for all purposes and only registered Holders shall have rights under this Indenture and the Notes. The Issuer may appoint one or more co-registrars, one or more co-transfer agents and one or more additional paying agents. The term “Registrar” includes any co-registrar, the term “Transfer Agent” includes any co-transfer agent and the term “Paying Agent” includes any additional paying agents. The Issuer may change any Paying Agent, Transfer Agent or Registrar without prior notice to any Holder. The Issuer shall notify the Trustee in writing of the name and address of any Agent not a party to this Indenture. If the Issuer fails to appoint or maintain another entity as Registrar, Transfer Agent or Paying Agent, the Trustee shall act as such. The Issuer or any of its Subsidiaries may act as Paying Agent, Transfer Agent or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initially appoints The Depository Trust Company, its nominees and successors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to act as Depositary with respect to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initially appoints the Trustee to act as the Paying Agent, Transfer Agent and Registrar for the Notes and to act as Custodian with respect to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2.04.</w:t>
        <w:tab/>
        <w:t>     </w:t>
      </w:r>
      <w:r>
        <w:rPr>
          <w:rFonts w:ascii="Times New Roman;Times;Serif" w:hAnsi="Times New Roman;Times;Serif"/>
          <w:b w:val="false"/>
          <w:i/>
          <w:caps w:val="false"/>
          <w:smallCaps w:val="false"/>
          <w:sz w:val="20"/>
        </w:rPr>
        <w:t>Paying Agent to Hold Money in Trust</w:t>
      </w:r>
      <w:r>
        <w:rPr>
          <w:rFonts w:ascii="Times New Roman;Times;Serif" w:hAnsi="Times New Roman;Times;Serif"/>
          <w:b w:val="false"/>
          <w:i w:val="false"/>
          <w:caps w:val="false"/>
          <w:smallCaps w:val="false"/>
          <w:sz w:val="20"/>
        </w:rPr>
        <w:t>. The Issuer shall require each Paying Agent other than the Trustee to agree in writing that the Paying Agent shall hold in trust for the benefit of Holders or the Trustee all money held by the Paying Agent for the payment of principal, premium, if any, or interest on the Notes, and will notify the Trustee in writing of any default by the Issuer in making any such payment. While any such default continues, the Trustee may require a Paying Agent (other than the Trustee) to pay all money held by it to the Trustee. The Issuer at any time may require a Paying Agent (other than the Trustee) to pay all money held by it to the Trustee. Upon payment over to the Trustee, the Paying Agent (if other than the Issuer or a Subsidiary or the Trustee) shall have no further liability for the money. If the Issuer or a Subsidiary acts as Paying Agent, it shall segregate and hold in a separate trust fund for the benefit of the Holders all money held by it as Paying Agent. Upon any bankruptcy or reorganization proceedings relating to the Issuer, the Trustee shall serve as Paying Agent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2.05.</w:t>
        <w:tab/>
        <w:t>     </w:t>
      </w:r>
      <w:r>
        <w:rPr>
          <w:rFonts w:ascii="Times New Roman;Times;Serif" w:hAnsi="Times New Roman;Times;Serif"/>
          <w:b w:val="false"/>
          <w:i/>
          <w:caps w:val="false"/>
          <w:smallCaps w:val="false"/>
          <w:sz w:val="20"/>
        </w:rPr>
        <w:t>Holder Lists</w:t>
      </w:r>
      <w:r>
        <w:rPr>
          <w:rFonts w:ascii="Times New Roman;Times;Serif" w:hAnsi="Times New Roman;Times;Serif"/>
          <w:b w:val="false"/>
          <w:i w:val="false"/>
          <w:caps w:val="false"/>
          <w:smallCaps w:val="false"/>
          <w:sz w:val="20"/>
        </w:rPr>
        <w:t>. The Trustee shall preserve in as current a form as is reasonably practicable the most recent list available to it of the names and addresses of all Holders. If the Trustee is not the Registrar, the Issuer shall furnish to the Trustee at least two Business Days before each Interest Payment Date and at such other times as the Trustee may request in writing, a list in such form and as of such date as the Trustee may reasonably require of the names and addresses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2.06.</w:t>
        <w:tab/>
        <w:t>     </w:t>
      </w:r>
      <w:r>
        <w:rPr>
          <w:rFonts w:ascii="Times New Roman;Times;Serif" w:hAnsi="Times New Roman;Times;Serif"/>
          <w:b w:val="false"/>
          <w:i/>
          <w:caps w:val="false"/>
          <w:smallCaps w:val="false"/>
          <w:sz w:val="20"/>
        </w:rPr>
        <w:t>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Transfer and Exchange of Global Notes</w:t>
      </w:r>
      <w:r>
        <w:rPr>
          <w:rFonts w:ascii="Times New Roman;Times;Serif" w:hAnsi="Times New Roman;Times;Serif"/>
          <w:b w:val="false"/>
          <w:i w:val="false"/>
          <w:caps w:val="false"/>
          <w:smallCaps w:val="false"/>
          <w:sz w:val="20"/>
        </w:rPr>
        <w:t xml:space="preserve">. Except as otherwise set forth in this Section 2.06, a Global Note may be transferred, in whole and not in part, only to another nominee of the Depositary or to a successor thereto or a nominee of such successor thereto. A beneficial interest in a Global Note may not be exchanged for a Definitive Note unless, and, if applicable, subject to the limitation on issuance of Definitive Notes set forth in Section 2.06(c)(ii), (i) the Depositary notifies the Issuer that it is unwilling or unable to continue as Depositary for such Global Note and the Issuer fails to appoint a successor Depositary within 90 days of such notice, (ii) the Issuer, at its option, notifies the Trustee in writing that it elects to cause the issuance of Definitive Notes (although Regulation S Temporary Global Notes may not be exchanged for Definitive Notes prior to (A) the expiration of the applicable Restricted Period and (B) the receipt by the Registrar of any certification of beneficial ownership required pursuant to Rule 903(b)(3)(ii)(B)) or (iii) upon the request of a Holder if there shall have occurred and be continuing an Event of Default with respect to the Notes and the Trustee has received a written request from the Depositary to issue Definitive Notes. Upon the occurrence of any of the events described in clause (i), (ii) or (iii) above, Definitive Notes delivered in exchange for any Global Note or beneficial interests therein will be registered in the names, and issued in any approved denominations, requested by or on behalf of the Depositary (in accordance with its customary procedures). Global Notes also may be exchanged or replaced, in whole or in part, as provided in Sections 2.07 and 2.10 hereof. Every Note authenticated and delivered in exchange for, or in lieu of, a Global Note or any portion thereof, pursuant to this Section 2.06 or Sections 2.07 or 2.10 hereof, shall be authenticated and delivered in the form of, and shall be, a Global Note, except for Definitive Notes issued subsequent to any of the events described in clause (i), (ii) or (iii) above and pursuant to Section 2.06(c) hereof. A Global Note may not be exchanged for another Note other than as provided in this Section 2.06(a);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beneficial interests in a Global Note may be transferred and exchanged as provided in Section 2.06(b) or (c)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Transfer and Exchange of Beneficial Interests in the Global Notes</w:t>
      </w:r>
      <w:r>
        <w:rPr>
          <w:rFonts w:ascii="Times New Roman;Times;Serif" w:hAnsi="Times New Roman;Times;Serif"/>
          <w:b w:val="false"/>
          <w:i w:val="false"/>
          <w:caps w:val="false"/>
          <w:smallCaps w:val="false"/>
          <w:sz w:val="20"/>
        </w:rPr>
        <w:t>. 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(i) or (ii) below, as applicable, as well as one or more of the other following subparagraphs,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Transfer of Beneficial Interests in the Same Global Note</w:t>
      </w:r>
      <w:r>
        <w:rPr>
          <w:rFonts w:ascii="Times New Roman;Times;Serif" w:hAnsi="Times New Roman;Times;Serif"/>
          <w:b w:val="false"/>
          <w:i w:val="false"/>
          <w:caps w:val="false"/>
          <w:smallCaps w:val="false"/>
          <w:sz w:val="20"/>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prior to the expiration of the Restricted Period, transfers of beneficial interests in the Regulation S Temporary Global Note may not be made to a U.S. Person or for the account or benefit of a U.S. Person other than pursuant to Rule 144A.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All Other Transfers and Exchanges of Beneficial Interests in Global Notes</w:t>
      </w:r>
      <w:r>
        <w:rPr>
          <w:rFonts w:ascii="Times New Roman;Times;Serif" w:hAnsi="Times New Roman;Times;Serif"/>
          <w:b w:val="false"/>
          <w:i w:val="false"/>
          <w:caps w:val="false"/>
          <w:smallCaps w:val="false"/>
          <w:sz w:val="20"/>
        </w:rPr>
        <w:t xml:space="preserve">. In connection with all transfers and exchanges of beneficial interests that are not subject to Section 2.06(b)(i) hereof, the transferor of such beneficial interest must deliver to the Registrar either (A) (1)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(B) (1) a written order from a Participant or an Indirect Participant given to the Depositary in accordance with the Applicable Procedures directing the Depositary to cause to be issued a Definitive Note in an amount equal to the beneficial interest to be transferred or exchanged and (2) instructions given by the Depositary to the Registrar containing information regarding the Person in whose name such Definitive Note shall be registered to effect the transfer or exchange referred to in (1)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no event shall Definitive Notes be issued upon the transfer or exchange of beneficial interests in a Regulation S Temporary Global Note prior to (x) the expiration of the applicable Restricted Period therefor and (y) the receipt by the Registrar of any certification of beneficial ownership required pursuant to Rule 903(b)(3)(ii)(B).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Transfer of Beneficial Interests to Another Restricted Global Note</w:t>
      </w:r>
      <w:r>
        <w:rPr>
          <w:rFonts w:ascii="Times New Roman;Times;Serif" w:hAnsi="Times New Roman;Times;Serif"/>
          <w:b w:val="false"/>
          <w:i w:val="false"/>
          <w:caps w:val="false"/>
          <w:smallCaps w:val="false"/>
          <w:sz w:val="20"/>
        </w:rPr>
        <w:t>. A beneficial interest in any Restricted Global Note may be transferred to a Person who takes delivery thereof in the form of a beneficial interest in another Restricted Global Note if the transfer complies with the requirements of Section 2.06(b)(ii) hereof and 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19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transferee will take delivery in the form of a beneficial interest in a 144A Global Note, then the transferor must deliver a certificate in the form of Exhibit B hereto, including the certifications in item (1)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transferee will take delivery in the form of a beneficial interest in a Regulation S Global Note, then the transferor must deliver a certificate in the form of Exhibit B hereto, including the certifications in item (2)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Transfer and Exchange of Beneficial Interests in a Restricted Global Note for Beneficial Interests in an Unrestricted Global Note</w:t>
      </w:r>
      <w:r>
        <w:rPr>
          <w:rFonts w:ascii="Times New Roman;Times;Serif" w:hAnsi="Times New Roman;Times;Serif"/>
          <w:b w:val="false"/>
          <w:i w:val="false"/>
          <w:caps w:val="false"/>
          <w:smallCaps w:val="false"/>
          <w:sz w:val="20"/>
        </w:rPr>
        <w:t>.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2.06(b)(ii) 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holder of such beneficial interest in a Restricted Global Note proposes to exchange such beneficial interest for a beneficial interest in an Unrestricted Global Note, a certificate from such Holder substantially in the form of Exhibit C hereto, including the certifications in item (1)(a)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if the Issuer so requests or if the Applicable Procedures so require, an Opinion of Counsel in form reasonably acceptable to the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transfer is effected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aggregate principal amount of beneficial interests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interests in an Unrestricted Global Note cannot be exchanged for, or transferred to Persons who take delivery thereof in the form of, a beneficial interest in a Restricted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Transfer or Exchange of Beneficial Interests for Definitive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Beneficial Interests in Restricted Global Notes to Restricted Definitive Notes</w:t>
      </w:r>
      <w:r>
        <w:rPr>
          <w:rFonts w:ascii="Times New Roman;Times;Serif" w:hAnsi="Times New Roman;Times;Serif"/>
          <w:b w:val="false"/>
          <w:i w:val="false"/>
          <w:caps w:val="false"/>
          <w:smallCaps w:val="false"/>
          <w:sz w:val="20"/>
        </w:rPr>
        <w:t>.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the occurrence of any of the events described in clause (i), (ii) or (iii) of Section 2.06(a) hereof and receipt by the Registrar of the following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holder of such beneficial interest in a Restricted Global Note proposes to exchange such beneficial interest for a Restricted Definitive Note, a certificate from such holder substantially in the form of Exhibit C hereto, including the certifications in item (2)(a) thereof;</w:t>
      </w:r>
    </w:p>
    <w:p>
      <w:pPr>
        <w:pStyle w:val="TextBody"/>
        <w:bidi w:val="0"/>
        <w:spacing w:before="0" w:after="0"/>
        <w:ind w:left="0" w:right="0" w:firstLine="1210"/>
        <w:jc w:val="left"/>
        <w:rPr>
          <w:caps w:val="false"/>
          <w:smallCaps w:val="false"/>
        </w:rPr>
      </w:pPr>
      <w:r>
        <w:rPr>
          <w:caps w:val="false"/>
          <w:smallCaps w:val="false"/>
        </w:rPr>
        <w:t> </w:t>
      </w:r>
    </w:p>
    <w:p>
      <w:pPr>
        <w:pStyle w:val="TextBody"/>
        <w:bidi w:val="0"/>
        <w:spacing w:before="0" w:after="0"/>
        <w:ind w:left="720" w:right="0" w:firstLine="1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such beneficial interest is being transferred to a QIB in accordance with Rule 144A, a certificate substantially in the form of Exhibit B hereto, including the certifications in item (1) thereof;</w:t>
      </w:r>
    </w:p>
    <w:p>
      <w:pPr>
        <w:pStyle w:val="TextBody"/>
        <w:bidi w:val="0"/>
        <w:spacing w:before="0" w:after="0"/>
        <w:ind w:left="0" w:right="0" w:firstLine="1210"/>
        <w:jc w:val="left"/>
        <w:rPr>
          <w:caps w:val="false"/>
          <w:smallCaps w:val="false"/>
        </w:rPr>
      </w:pPr>
      <w:r>
        <w:rPr>
          <w:caps w:val="false"/>
          <w:smallCaps w:val="false"/>
        </w:rPr>
        <w:t> </w:t>
      </w:r>
    </w:p>
    <w:p>
      <w:pPr>
        <w:pStyle w:val="TextBody"/>
        <w:bidi w:val="0"/>
        <w:spacing w:before="0" w:after="0"/>
        <w:ind w:left="720" w:right="0" w:firstLine="1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such beneficial interest is being transferred to a Non-U.S. Person in an offshore transaction in accordance with Rule 903 or Rule 904, a certificate substantially in the form of Exhibit B hereto, including the certifications in item (2) thereof;</w:t>
      </w:r>
    </w:p>
    <w:p>
      <w:pPr>
        <w:pStyle w:val="TextBody"/>
        <w:bidi w:val="0"/>
        <w:spacing w:before="0" w:after="0"/>
        <w:ind w:left="0" w:right="0" w:firstLine="1210"/>
        <w:jc w:val="left"/>
        <w:rPr>
          <w:caps w:val="false"/>
          <w:smallCaps w:val="false"/>
        </w:rPr>
      </w:pPr>
      <w:r>
        <w:rPr>
          <w:caps w:val="false"/>
          <w:smallCaps w:val="false"/>
        </w:rPr>
        <w:t> </w:t>
      </w:r>
    </w:p>
    <w:p>
      <w:pPr>
        <w:pStyle w:val="TextBody"/>
        <w:bidi w:val="0"/>
        <w:spacing w:before="0" w:after="0"/>
        <w:ind w:left="720" w:right="0" w:firstLine="1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such beneficial interest is being transferred pursuant to an exemption from the registration requirements of the Securities Act in accordance with Rule 144, a certificate substantially in the form of Exhibit B hereto, including the certifications in item (3)(a) thereof;</w:t>
      </w:r>
    </w:p>
    <w:p>
      <w:pPr>
        <w:pStyle w:val="TextBody"/>
        <w:bidi w:val="0"/>
        <w:spacing w:before="0" w:after="0"/>
        <w:ind w:left="0" w:right="0" w:firstLine="1210"/>
        <w:jc w:val="left"/>
        <w:rPr>
          <w:caps w:val="false"/>
          <w:smallCaps w:val="false"/>
        </w:rPr>
      </w:pPr>
      <w:r>
        <w:rPr>
          <w:caps w:val="false"/>
          <w:smallCaps w:val="false"/>
        </w:rPr>
        <w:t> </w:t>
      </w:r>
    </w:p>
    <w:p>
      <w:pPr>
        <w:pStyle w:val="TextBody"/>
        <w:bidi w:val="0"/>
        <w:spacing w:before="0" w:after="0"/>
        <w:ind w:left="720" w:right="0" w:firstLine="1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such beneficial interest is being transferred to the Issuer or any of its Subsidiaries, a certificate substantially in the form of Exhibit B hereto, including the certifications in item (3)(b) thereof; or</w:t>
      </w:r>
    </w:p>
    <w:p>
      <w:pPr>
        <w:pStyle w:val="TextBody"/>
        <w:bidi w:val="0"/>
        <w:spacing w:before="0" w:after="0"/>
        <w:ind w:left="0" w:right="0" w:firstLine="1210"/>
        <w:jc w:val="left"/>
        <w:rPr>
          <w:caps w:val="false"/>
          <w:smallCaps w:val="false"/>
        </w:rPr>
      </w:pPr>
      <w:r>
        <w:rPr>
          <w:caps w:val="false"/>
          <w:smallCaps w:val="false"/>
        </w:rPr>
        <w:t> </w:t>
      </w:r>
    </w:p>
    <w:p>
      <w:pPr>
        <w:pStyle w:val="TextBody"/>
        <w:bidi w:val="0"/>
        <w:spacing w:before="0" w:after="0"/>
        <w:ind w:left="720" w:right="0" w:firstLine="1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such beneficial interest is being transferred pursuant to an effective registration statement under the Securities Act, a certificate substantially in the form of Exhibit B hereto, including the certifications in item (3)(c)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cause the aggregate principal amount of the applicable Global Note to be reduced accordingly pursuant to Section 2.06(h) hereof, and the Issuer shall execute and the Trustee shall authenticate and mail to the Person designated in the instructions a Definitive Note in the applicable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mail such Definitive Notes to the Persons in whose names such Notes are so registered. Any Definitive Note issued in exchange for a beneficial interest in a Restricted Global Note pursuant to this Section 2.06(c)(i) (except transfers pursuant to clause (F) above) shall bear the Private Placement Legend and shall be subject to all restrictions on transfer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Beneficial Interests in Regulation S Temporary Global Note to Definitive Notes</w:t>
      </w:r>
      <w:r>
        <w:rPr>
          <w:rFonts w:ascii="Times New Roman;Times;Serif" w:hAnsi="Times New Roman;Times;Serif"/>
          <w:b w:val="false"/>
          <w:i w:val="false"/>
          <w:caps w:val="false"/>
          <w:smallCaps w:val="false"/>
          <w:sz w:val="20"/>
        </w:rPr>
        <w:t>. Notwithstanding Sections 2.06(c)(i)(A) and (C) hereof, a beneficial interest in the Regulation S Temporary Global Note may not be exchanged for a Definitive Note or transferred to a Person who takes delivery thereof in the form of a Definitive Note prior to (A) the expiration of the applicable Restricted Period therefor and (B) the receipt by the Registrar of any certifications of beneficial ownership required pursuant to Rule 903(b)(3)(ii)(B), except in the case of a transfer pursuant to an exemption from the registration requirements of the Securities Act other than Rule 903 or Rule 904.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Beneficial Interests in Restricted Global Notes to Unrestricted Definitive Notes</w:t>
      </w:r>
      <w:r>
        <w:rPr>
          <w:rFonts w:ascii="Times New Roman;Times;Serif" w:hAnsi="Times New Roman;Times;Serif"/>
          <w:b w:val="false"/>
          <w:i w:val="false"/>
          <w:caps w:val="false"/>
          <w:smallCaps w:val="false"/>
          <w:sz w:val="20"/>
        </w:rPr>
        <w:t>. A holder of a beneficial interest in a Restricted Global Note may exchange such beneficial interest for an Unrestricted Definitive Note or may transfer such beneficial interest to a Person who takes delivery thereof in the form of an Unrestricted Definitive Note only upon the occurrence of any of the events described in clause (i), (ii) or (iii) of Section 2.06(a) hereof and if 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holder of such beneficial interest in a Restricted Global Note proposes to exchange such beneficial interest for an Unrestricted Definitive Note, a certificate from such holder substantially in the form of Exhibit C hereto, including the certifications in item (1)(b)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holder of such beneficial interest in a Restricted Global Note proposes to transfer such beneficial interest to a Person who shall take delivery thereof in the form of an Unrestricted Definitive Note, a certificate from such holder substantially in the form of Exhibit B hereto, including the certifications in item (4)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if the Issuer so requests or if the Applicable Procedures so require, an Opinion of Counsel in form reasonably acceptable to the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Beneficial Interests in Unrestricted Global Notes to Unrestricted Definitive Notes</w:t>
      </w:r>
      <w:r>
        <w:rPr>
          <w:rFonts w:ascii="Times New Roman;Times;Serif" w:hAnsi="Times New Roman;Times;Serif"/>
          <w:b w:val="false"/>
          <w:i w:val="false"/>
          <w:caps w:val="false"/>
          <w:smallCaps w:val="false"/>
          <w:sz w:val="20"/>
        </w:rPr>
        <w:t>. If any holder of a beneficial interest in an Unrestricted Global Note proposes to exchange such beneficial interest for a Definitive Note or to transfer such beneficial interest to a Person who takes delivery thereof in the form of a Definitive Note, then, upon the occurrence of any of the events described in clause (i), (ii) or (iii) of Section 2.06(a) hereof and satisfaction of the conditions set forth in Section 2.06(b)(ii) hereof, the Trustee shall cause the aggregate principal amount of the applicable Global Note to be reduced accordingly pursuant to Section 2.06(h) hereof, and the Issuer shall execute and the Trustee shall authenticate and mail to the Person designated in the instructions a Definitive Note in the applicable principal amount. Any Definitive Note issued in exchange for a beneficial interest pursuant to this Section 2.06(c)(iv) shall be registered in such name or names and in such authorized denomination or denominations as the holder of such beneficial interest shall instruct the Registrar through instructions from or through the Depositary and the Participant or Indirect Participant. The Trustee shall mail such Definitive Notes to the Persons in whose names such Notes are so registered. Any Definitive Note issued in exchange for a beneficial interest pursuant to this Section 2.06(c)(iv) shall not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Transfer and Exchange of Definitive Notes for Beneficial Interests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Restricted Definitive Notes to Beneficial Interests in Restricted Global Notes</w:t>
      </w:r>
      <w:r>
        <w:rPr>
          <w:rFonts w:ascii="Times New Roman;Times;Serif" w:hAnsi="Times New Roman;Times;Serif"/>
          <w:b w:val="false"/>
          <w:i w:val="false"/>
          <w:caps w:val="false"/>
          <w:smallCaps w:val="false"/>
          <w:sz w:val="20"/>
        </w:rPr>
        <w:t>. If any Holder of a Restricted Definitive Note proposes to exchange such Note for a beneficial interest in a Restricted Global Note or to transfer such Restricted Definitive Note to a Person who takes delivery thereof in the form of a beneficial interest in a Restricted Global Note, then, upon receipt by the Registrar of the following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Holder of such Restricted Definitive Note proposes to exchange such Note for a beneficial interest in a Restricted Global Note, a certificate from such Holder substantially in the form of Exhibit C hereto, including the certifications in item (2)(b)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such Restricted Definitive Note is being transferred to a person reasonably believed to be a QIB in accordance with Rule 144A, a certificate substantially in the form of Exhibit B hereto, including the certifications in item (1)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such Restricted Definitive Note is being transferred to a Non-U.S. Person in an offshore transaction in accordance with Rule 903 or Rule 904, a certificate substantially in the form of Exhibit B hereto, including the certifications in item (2)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such Restricted Definitive Note is being transferred pursuant to an exemption from the registration requirements of the Securities Act in accordance with Rule 144, a certificate substantially in the form of Exhibit B hereto, including the certifications in item (3)(a)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such Restricted Definitive Note is being transferred to the Issuer or any of its Subsidiaries, a certificate substantially in the form of Exhibit B hereto, including the certifications in item (3)(b)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such Restricted Definitive Note is being transferred pursuant to an effective registration statement under the Securities Act, a certificate substantially in the form of Exhibit B hereto, including the certifications in item (3)(c)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cancel the Restricted Definitive Note and increase or cause to be increased the aggregate principal amount of, in the case of clause (A) above, the applicable Restricted Global Note, in the case of clause (B) above, the applicable 144A Global Note, and in the case of clause (C) above, the applicable Regulation S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Restricted Definitive Notes to Beneficial Interests in Unrestricted Global Notes</w:t>
      </w:r>
      <w:r>
        <w:rPr>
          <w:rFonts w:ascii="Times New Roman;Times;Serif" w:hAnsi="Times New Roman;Times;Serif"/>
          <w:b w:val="false"/>
          <w:i w:val="false"/>
          <w:caps w:val="false"/>
          <w:smallCaps w:val="false"/>
          <w:sz w:val="20"/>
        </w:rPr>
        <w:t>.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Holder of such Definitive Notes proposes to exchange such Notes for a beneficial interest in the Unrestricted Global Note, a certificate from such Holder substantially in the form of Exhibit C hereto, including the certifications in item (1)(c)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Holder of such Definitive Notes proposes to transfer such Notes to a Person who shall take delivery thereof in the form of a beneficial interest in the Unrestricted Global Note, a certificate from such Holder substantially in the form of Exhibit B hereto, including the certifications in item (4)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set forth in this paragraph (ii), if the Issuer so requests or if the Applicable Procedures so require, an Opinion of Counsel in form reasonably acceptable to the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satisfaction of the applicable conditions of this Section 2.06(d)(ii), the Trustee shall cancel the Restricted Definitive Note and increase or cause to be increased the aggregate principal amount of the Unrestricted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Unrestricted Definitive Notes to Beneficial Interests in Unrestricted Global Notes</w:t>
      </w:r>
      <w:r>
        <w:rPr>
          <w:rFonts w:ascii="Times New Roman;Times;Serif" w:hAnsi="Times New Roman;Times;Serif"/>
          <w:b w:val="false"/>
          <w:i w:val="false"/>
          <w:caps w:val="false"/>
          <w:smallCaps w:val="false"/>
          <w:sz w:val="20"/>
        </w:rPr>
        <w:t>.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exchange or transfer from a Definitive Note to a beneficial interest is effected pursuant to clause (ii) or (iii) above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principal amount of Definitive Notes so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Transfer and Exchange of Definitive Notes for Definitive Notes</w:t>
      </w:r>
      <w:r>
        <w:rPr>
          <w:rFonts w:ascii="Times New Roman;Times;Serif" w:hAnsi="Times New Roman;Times;Serif"/>
          <w:b w:val="false"/>
          <w:i w:val="false"/>
          <w:caps w:val="false"/>
          <w:smallCaps w:val="false"/>
          <w:sz w:val="20"/>
        </w:rPr>
        <w:t>. Upon request by a Holder of Definitive Notes and such Holder’s compliance with the provisions of this Section 2.06(e),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or exchange in form reasonably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2.06(e):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Restricted Definitive Notes to Restricted Definitive Notes</w:t>
      </w:r>
      <w:r>
        <w:rPr>
          <w:rFonts w:ascii="Times New Roman;Times;Serif" w:hAnsi="Times New Roman;Times;Serif"/>
          <w:b w:val="false"/>
          <w:i w:val="false"/>
          <w:caps w:val="false"/>
          <w:smallCaps w:val="false"/>
          <w:sz w:val="20"/>
        </w:rPr>
        <w:t>. Any Restricted Definitive Note may be transferred to and registered in the name of Persons who take delivery thereof in the form of a Restricted Definitive Note if 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19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transfer will be made to a QIB in accordance with Rule 144A, then the transferor must deliver a certificate substantially in the form of Exhibit B hereto, including the certifications in item (1) thereof;</w:t>
      </w:r>
    </w:p>
    <w:p>
      <w:pPr>
        <w:pStyle w:val="TextBody"/>
        <w:bidi w:val="0"/>
        <w:spacing w:before="0" w:after="0"/>
        <w:ind w:left="0" w:right="0" w:firstLine="1195"/>
        <w:jc w:val="left"/>
        <w:rPr>
          <w:caps w:val="false"/>
          <w:smallCaps w:val="false"/>
        </w:rPr>
      </w:pPr>
      <w:r>
        <w:rPr>
          <w:caps w:val="false"/>
          <w:smallCaps w:val="false"/>
        </w:rPr>
        <w:t> </w:t>
      </w:r>
    </w:p>
    <w:p>
      <w:pPr>
        <w:pStyle w:val="TextBody"/>
        <w:bidi w:val="0"/>
        <w:spacing w:before="0" w:after="0"/>
        <w:ind w:left="1440" w:right="0" w:firstLine="119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transfer will be made pursuant to Rule 903 or Rule 904, then the transferor must deliver a certificate in the form of Exhibit B hereto, including the certifications in item (2) thereof; or</w:t>
      </w:r>
    </w:p>
    <w:p>
      <w:pPr>
        <w:pStyle w:val="TextBody"/>
        <w:bidi w:val="0"/>
        <w:spacing w:before="0" w:after="0"/>
        <w:ind w:left="0" w:right="0" w:firstLine="1195"/>
        <w:jc w:val="left"/>
        <w:rPr>
          <w:caps w:val="false"/>
          <w:smallCaps w:val="false"/>
        </w:rPr>
      </w:pPr>
      <w:r>
        <w:rPr>
          <w:caps w:val="false"/>
          <w:smallCaps w:val="false"/>
        </w:rPr>
        <w:t> </w:t>
      </w:r>
    </w:p>
    <w:p>
      <w:pPr>
        <w:pStyle w:val="TextBody"/>
        <w:bidi w:val="0"/>
        <w:spacing w:before="0" w:after="0"/>
        <w:ind w:left="1440" w:right="0" w:firstLine="119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transfer will be made pursuant to any other exemption from the registration requirements of the Securities Act, then the transferor must deliver a certificate in the form of Exhibit B hereto, including the certifications required by item (3) thereof, if applicable.</w:t>
      </w:r>
    </w:p>
    <w:p>
      <w:pPr>
        <w:pStyle w:val="TextBody"/>
        <w:bidi w:val="0"/>
        <w:spacing w:before="0" w:after="0"/>
        <w:ind w:left="0" w:right="0" w:firstLine="1195"/>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Restricted Definitive Notes to Unrestricted Definitive Notes</w:t>
      </w:r>
      <w:r>
        <w:rPr>
          <w:rFonts w:ascii="Times New Roman;Times;Serif" w:hAnsi="Times New Roman;Times;Serif"/>
          <w:b w:val="false"/>
          <w:i w:val="false"/>
          <w:caps w:val="false"/>
          <w:smallCaps w:val="false"/>
          <w:sz w:val="20"/>
        </w:rPr>
        <w:t>. Any Restricted Definitive Note may be exchanged by the Holder thereof for an Unrestricted Definitive Note or transferred to a Person or Persons who take delivery thereof in the form of an Unrestricted Definitive Note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receives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Holder of such Restricted Definitive Notes proposes to exchange such Notes for an Unrestricted Definitive Note, a certificate from such Holder substantially in the form of Exhibit C hereto, including the certifications in item (1)(d) thereof; or</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Holder of such Restricted Definitive Notes proposes to transfer such Notes to a Person who shall take delivery thereof in the form of an Unrestricted Definitive Note, a certificate from such Holder substantially in the form of Exhibit B hereto, including the certifications in item (4)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such case, if the Issuer so requests, an Opinion of Counsel in form reasonably acceptable to the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Unrestricted Definitive Notes to Unrestricted Definitive Notes</w:t>
      </w:r>
      <w:r>
        <w:rPr>
          <w:rFonts w:ascii="Times New Roman;Times;Serif" w:hAnsi="Times New Roman;Times;Serif"/>
          <w:b w:val="false"/>
          <w:i w:val="false"/>
          <w:caps w:val="false"/>
          <w:smallCaps w:val="false"/>
          <w:sz w:val="20"/>
        </w:rPr>
        <w:t>.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Legends</w:t>
      </w:r>
      <w:r>
        <w:rPr>
          <w:rFonts w:ascii="Times New Roman;Times;Serif" w:hAnsi="Times New Roman;Times;Serif"/>
          <w:b w:val="false"/>
          <w:i w:val="false"/>
          <w:caps w:val="false"/>
          <w:smallCaps w:val="false"/>
          <w:sz w:val="20"/>
        </w:rPr>
        <w:t>. The following legends shall appear on the face of all Global Notes and Definitive Notes issued under this Indenture unless specifically stated otherwise in the applicable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Private Placement 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permitted by subparagraph (B) below, each Global Note and each Definitive Note (and all Notes issued in exchange therefor or substitution thereof) shall bear the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HAS NOT BEEN AND WILL NOT BE REGISTERED UNDER THE U.S.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OR THE SECURITIES LAWS OF ANY STATE OR OTHER JURISDICTION. NEITHER THIS NOTE NOR ANY INTEREST OR PARTICIPATION HEREIN MAY BE OFFERED, SOLD, ASSIGNED, TRANSFERRED, PLEDGED, ENCUMBERED OR OTHERWISE DISPOSED OF IN THE ABSENCE OF SUCH REGISTRATION OR UNLESS SUCH TRANSACTION IS EXEMPT FROM, OR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THIS NOTE BY ITS ACCEPTANCE HEREOF AGREES TO OFFER, SELL OR OTHERWISE TRANSFER SUCH NOTE, PRIOR TO THE DATE (THE “</w:t>
      </w:r>
      <w:r>
        <w:rPr>
          <w:rFonts w:ascii="Times New Roman;Times;Serif" w:hAnsi="Times New Roman;Times;Serif"/>
          <w:b/>
          <w:i w:val="false"/>
          <w:caps w:val="false"/>
          <w:smallCaps w:val="false"/>
          <w:sz w:val="20"/>
        </w:rPr>
        <w:t>RESALE RESTRICTION TERMINATION DATE</w:t>
      </w:r>
      <w:r>
        <w:rPr>
          <w:rFonts w:ascii="Times New Roman;Times;Serif" w:hAnsi="Times New Roman;Times;Serif"/>
          <w:b w:val="false"/>
          <w:i w:val="false"/>
          <w:caps w:val="false"/>
          <w:smallCaps w:val="false"/>
          <w:sz w:val="20"/>
        </w:rPr>
        <w:t>”) THAT IS IN THE CASE OF RULE 144A NOTES: ONE YEAR AND IN THE CASE OF REGULATION S NOTES: 40 DAYS AFTER THE LATER OF THE ORIGINAL ISSUE DATE HEREOF AND THE LAST DATE ON WHICH THE ISSUER OR ANY AFFILIATE OF THE ISSUER WAS THE OWNER OF THIS NOTE (OR ANY PREDECESSOR OF THIS NOTE) ONLY (A) TO THE ISSUER, THE GUARANTORS OR ANY SUBSIDIARY THEREOF, (B) PURSUANT TO A REGISTRATION STATEMENT THAT HAS BEEN DECLARED EFFECTIVE UNDER THE SECURITIES ACT, (C) FOR SO LONG AS THE SECURITIES ARE ELIGIBLE FOR RESALE PURSUANT TO RULE 144A UNDER THE SECURITIES ACT (“</w:t>
      </w:r>
      <w:r>
        <w:rPr>
          <w:rFonts w:ascii="Times New Roman;Times;Serif" w:hAnsi="Times New Roman;Times;Serif"/>
          <w:b/>
          <w:i w:val="false"/>
          <w:caps w:val="false"/>
          <w:smallCaps w:val="false"/>
          <w:sz w:val="20"/>
        </w:rPr>
        <w:t>RULE 144A</w:t>
      </w:r>
      <w:r>
        <w:rPr>
          <w:rFonts w:ascii="Times New Roman;Times;Serif" w:hAnsi="Times New Roman;Times;Serif"/>
          <w:b w:val="false"/>
          <w:i w:val="false"/>
          <w:caps w:val="false"/>
          <w:smallCaps w:val="false"/>
          <w:sz w:val="20"/>
        </w:rPr>
        <w: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 UNDER THE SECURITIES ACT, (D) PURSUANT TO OFFERS AND SALES THAT OCCUR OUTSIDE THE UNITED STATES IN COMPLIANCE WITH REGULATION S UNDER THE SECURITIES ACT OR (E) PURSUANT TO ANY OTHER AVAILABLE EXEMPTION FROM THE REGISTRATION REQUIREMENTS OF THE SECURITIES ACT, SUBJECT IN EACH OF THE FOREGOING CASES TO ANY REQUIREMENT OF LAW THAT THE DISPOSITION OF ITS PROPERTY OR THE PROPERTY OF SUCH INVESTOR ACCOUNT OR ACCOUNTS BE AT ALL TIMES WITHIN ITS OR THEIR CONTROL AND TO COMPLIANCE WITH ANY APPLICABLE CANADIAN SECURITIES LAWS, ANY APPLICABLE STATE SECURITIES LAWS, AND ANY APPLICABLE LOCAL LAWS AND REGULATIONS AND FURTHER SUBJECT TO THE ISSUER’S AND THE TRUSTEE’S RIGHTS PURSUANT TO THE INDENTURE GOVERNING THE NOTES PRIOR TO ANY SUCH OFFER, SALE OR TRANSFER (I) PURSUANT TO CLAUSE (E) TO REQUIRE THE DELIVERY OF AN OPINION OF COUNSEL, CERTIFICATION AND/OR OTHER INFORMATION SATISFACTORY TO EACH OF THEM, (II) IN EACH OF THE FOREGOING CASES, TO REQUIRE THAT A CERTIFICATE OF TRANSFER IN THE FORM APPEARING ON THE OTHER SIDE OF THIS NOTE IS COMPLETED AND DELIVERED BY THE TRANSFEROR TO THE TRUSTEE AND (III) AGREES THAT IT WILL GIVE TO EACH PERSON TO WHOM THIS NOTE IS TRANSFERRED A NOTICE SUBSTANTIALLY TO THE EFFECT OF THIS LEGEND.</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any Global Note or Definitive Note issued pursuant to subparagraph (b)(iv), (c)(iii), (c)(iv), (d)(ii), (d)(iii), (e)(ii) or (e)(iii) of this Section 2.06 (and all Notes issued in exchange therefor or substitution thereof) shall not bear the Private Placement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Global Note Legend</w:t>
      </w:r>
      <w:r>
        <w:rPr>
          <w:rFonts w:ascii="Times New Roman;Times;Serif" w:hAnsi="Times New Roman;Times;Serif"/>
          <w:b w:val="false"/>
          <w:i w:val="false"/>
          <w:caps w:val="false"/>
          <w:smallCaps w:val="false"/>
          <w:sz w:val="20"/>
        </w:rPr>
        <w:t>. Each Global Note shall bear a legend in substantially the following form (with appropriate changes in the last sentence if DTC is not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2.06(h) OF THE INDENTURE, (II) THIS GLOBAL NOTE MAY BE EXCHANGED IN WHOLE BUT NOT IN PART PURSUANT TO SECTION 2.06(a) OF THE INDENTURE, (III) THIS GLOBAL NOTE MAY BE DELIVERED TO THE TRUSTEE FOR CANCELLATION PURSUANT TO SECTION 2.11 OF THE INDENTURE AND (IV)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ACCEPTING THIS NOTE EACH HOLDER AND EACH TRANSFEREE IS DEEMED TO REPRESENT AND AGREE THAT AT THE TIME OF ITS ACQUISITION AND THROUGHOUT THE PERIOD THAT IT HOLDS THIS NOTE (I) IT IS NOT, AND IS NOT ACTING ON BEHALF OF, A PLAN (WHICH TERM INCLUDES (A) EMPLOYEE BENEFIT PLANS THAT ARE SUBJECT TO TITLE I OF THE EMPLOYEE RETIREMENT INCOME SECURITY ACT OF 1974, AS AMENDED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(B) PLANS, INDIVIDUAL RETIREMENT ACCOUNTS AND OTHER ARRANGEMENTS THAT ARE SUBJECT TO SECTION 4975 OF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AND (C) ENTITIES THE UNDERLYING ASSETS OF WHICH ARE CONSIDERED TO INCLUDE “PLAN ASSETS” OF ANY PLANS DESCRIBED ABOVE IN CLAUSE (A) OR (B), OR (II) ITS PURCHASE AND HOLDING OF THIS NOTE OR ANY INTEREST THEREIN SHALL NOT RESULT IN A NON-EXEMPT PROHIBITED TRANSACTION UNDER ERISA OR SECTION 4975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Regulation S Temporary Global Note Legend</w:t>
      </w:r>
      <w:r>
        <w:rPr>
          <w:rFonts w:ascii="Times New Roman;Times;Serif" w:hAnsi="Times New Roman;Times;Serif"/>
          <w:b w:val="false"/>
          <w:i w:val="false"/>
          <w:caps w:val="false"/>
          <w:smallCaps w:val="false"/>
          <w:sz w:val="20"/>
        </w:rPr>
        <w:t>. The Regulation S Temporary Global Note shall bear a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NOTE (OR ITS PREDECESSOR) WAS ORIGINALLY ISSUED IN A TRANSACTION ORIGINALLY EXEMPT FROM REGISTRATION UNDER THE U.S.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MAY NOT BE TRANSFERRED IN THE UNITED STATES OR TO, OR FOR THE ACCOUNT OR BENEFIT OF, ANY U.S. PERSON EXCEPT PURSUANT TO AN AVAILABLE EXEMPTION FROM THE REGISTRATION REQUIREMENTS OF THE SECURITIES ACT AND ALL APPLICABLE STATE SECURITIES LAWS. TERMS USED ABOVE HAVE THE MEANINGS GIVEN TO THEM IN REGULATION S UNDER THE SECURITIES ACT. BY ITS ACQUISITION HEREOF, THE HOLDER HEREOF REPRESENTS THAT IT IS NOT A U.S. PERSON NOR IS IT PURCHASING FOR THE ACCOUNT OF A U.S. PERSON AND IS ACQUIRING THIS SECURITY IN AN OFFSHORE TRANSACTION IN ACCORDANCE WITH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Cancellation and/or Adjustment of Global Notes</w:t>
      </w:r>
      <w:r>
        <w:rPr>
          <w:rFonts w:ascii="Times New Roman;Times;Serif" w:hAnsi="Times New Roman;Times;Serif"/>
          <w:b w:val="false"/>
          <w:i w:val="false"/>
          <w:caps w:val="false"/>
          <w:smallCaps w:val="false"/>
          <w:sz w:val="20"/>
        </w:rPr>
        <w:t>. At such time as all beneficial interests in a particular Global Note have been exchanged for Definitive Notes or a particular Global Note has been redeemed, repurchased or cancelled in whole and not in part, each such Global Note shall be returned to or retained and cancelled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General Provisions Relating to Transfers and Exchanges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permit registrations of transfers and exchanges, the Issuer shall execute and the Trustee shall authenticate Global Notes and Definitive Notes upon receipt of an Authentication Order in accordance with Section 2.02 hereof or at the Registrar’s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service charge shall be made to a holder of a beneficial interest in a Global Note or to a Holder of a Definitive Note for any registration of transfer or exchange, but the Issuer may require payment of a sum sufficient to cover any transfer tax or similar governmental charge payable in connection therewith (other than any such transfer taxes or similar governmental charge payable upon exchange or transfer pursuant to Sections 2.07, 2.10, 3.06, 3.09, 4.10, 4.14, and 9.05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Neither the Registrar nor the Issuer shall be required (A) to issue, to register the transfer of or to exchange any Notes during a period beginning at the opening of business 15 days before the mailing of a notice of redemption of the Notes to be redeemed under Section 3.03 hereof and ending at the close of business on the day of such mailing, (B) to register the transfer of or to exchange any Note so selected for redemption in whole or in part, except the unredeemed portion of any Note being redeemed in part, (C) to register the transfer or exchange of a Note between a Record Date and the next succeeding Interest Payment Date or (D) to register the transfer or exchange of any Notes tendered (and not withdrawn) for repurchase in connection with a Change of Control Offer, Asset Sale Offer or other tender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Neither the Registrar nor the Issuer shall be required to register the transfer or exchange of any Note selected for redemption in whole or in part, except the unredeemed portion of any Note being redeemed in part;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new Notes will only be issued in denominations of $2,000 and integral multiples of $1,000 in excess of $2,000.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Global Notes and Definitive Notes issued upon any registration of transfer or exchange of Global Notes or Definitive Notes shall be the valid obligations of the Issuer, evidencing the same debt, and entitled to the same benefits under this Indenture, as the Global Notes or Definitive Notes surrendered upon such registration of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Prior to due presentment for the registration of a transfer of any Note, the Trustee, any Agent and the Issuer shall deem and treat the Person in whose name any Note is registered as the absolute owner of such Note for the purpose of receiving payment of principal of (and premium, if any) and interest on such Notes and for all other purposes, and none of the Trustee, any Agent or the Issuer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Upon surrender for registration of transfer of any Note at the office or agency of the Issuer designated pursuant to Section 4.02 hereof, the Issuer shall execute, and the Trustee shall authenticate and mail, in the name of the designated transferee or transferees, one or more replacement Notes of any authorized denomination or denominations of a like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At the option of the Holder, subject to Section 2.06(a) hereof, Notes may be exchanged for other Notes of any authorized denomination or denominations of a like aggregate principal amount upon surrender of the Notes to be exchanged at such office or agency. Whenever any Global Notes or Definitive Notes are so surrendered for exchange, the Issuer shall execute, and the Trustee shall authenticate and mail, the replacement Global Notes and Definitive Notes which the Holder making the exchange is entitled to in accordance with the provisions of Section 2.02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All certifications, certificates and Opinions of Counsel required to be submitted pursuant to this Section 2.06 to effect a registration of transfer or exchange may be submitted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Neither the Trustee nor the Registrar shall have any duty to monitor the Issuers’ compliance with or have any responsibility with respect to the Issuers’ compliance with any federal or state securities laws in connection with registrations of transfers and exchanges of the Notes. The Trustee shall have no obligation or duty to monitor, determine or inquire as to compliance with any restrictions on transfer imposed under this Indenture or under applicable law with respect to any transfer of any interest in any Notes (including any transfers between or among the Depositary’s participants or the beneficial owners of interests in any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Neither the Trustee nor any Agent shall be responsible for any actions taken or not taken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2.07.</w:t>
        <w:tab/>
        <w:t>     </w:t>
      </w:r>
      <w:r>
        <w:rPr>
          <w:rFonts w:ascii="Times New Roman;Times;Serif" w:hAnsi="Times New Roman;Times;Serif"/>
          <w:b w:val="false"/>
          <w:i/>
          <w:caps w:val="false"/>
          <w:smallCaps w:val="false"/>
          <w:sz w:val="20"/>
        </w:rPr>
        <w:t>Replacement Notes</w:t>
      </w:r>
      <w:r>
        <w:rPr>
          <w:rFonts w:ascii="Times New Roman;Times;Serif" w:hAnsi="Times New Roman;Times;Serif"/>
          <w:b w:val="false"/>
          <w:i w:val="false"/>
          <w:caps w:val="false"/>
          <w:smallCaps w:val="false"/>
          <w:sz w:val="20"/>
        </w:rPr>
        <w:t>. If either (x) any mutilated Note is surrendered to the Trustee, the Registrar or the Issuer, or (y) the Issuer and the Trustee receive evidence to their satisfaction of the ownership and destruction, loss or theft of any Note, then the Issuer shall issue and the Trustee, upon receipt of an Authentication Order and satisfaction of any other requirements of the Trustee, shall authenticate a replacement Note. If required by the Trustee or the Issuer, an indemnity bond must be supplied by the Holder that is sufficient in the judgment of both (i) the Trustee to protect the Trustee and (ii) the Issuer to protect the Issuer, the Trustee, any Agent and any authenticating agent from any loss that any of them may suffer if a Note is replaced. The Issuer and the Trustee may charge the Holder for their expenses in replacing a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Note is a contractual obligation of the Issuer and shall be entitled to all of the benefits of this Indenture equally and proportionately with all other Notes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2.08.</w:t>
        <w:tab/>
        <w:t>     </w:t>
      </w:r>
      <w:r>
        <w:rPr>
          <w:rFonts w:ascii="Times New Roman;Times;Serif" w:hAnsi="Times New Roman;Times;Serif"/>
          <w:b w:val="false"/>
          <w:i/>
          <w:caps w:val="false"/>
          <w:smallCaps w:val="false"/>
          <w:sz w:val="20"/>
        </w:rPr>
        <w:t>Outstanding Notes</w:t>
      </w:r>
      <w:r>
        <w:rPr>
          <w:rFonts w:ascii="Times New Roman;Times;Serif" w:hAnsi="Times New Roman;Times;Serif"/>
          <w:b w:val="false"/>
          <w:i w:val="false"/>
          <w:caps w:val="false"/>
          <w:smallCaps w:val="false"/>
          <w:sz w:val="20"/>
        </w:rPr>
        <w:t>. The Notes outstanding at any time are all the Notes authenticated by the Trustee except for those cancelled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 or a Guarantor or an Affiliate of the Issuer or a Guarantor holds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Note is replaced pursuant to Section 2.07 hereof, it ceases to be outstanding unless the Trustee receives proof reasonably satisfactory to it that the replaced Note is held by a protected purchaser (as defined in Section 8-303 of the Uniform Commercial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in exchange for or in lieu of which other Notes have been authenticated and delivered pursuant to this Indenture shall not be deemed to be outstanding for purposes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principal amount of any Note is considered paid under Section 4.01 hereof, such Note shall cease to be outstanding and interest thereon shall cease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Issuer or a Guarantor or an Affiliate of the Issuer or a Guarantor) holds, on a Redemption Date or maturity date, money sufficient to pay Notes (or portions thereof) payable on that date, then on and after that date such Notes (or portions thereof) shall be deemed to be no longer outstanding (including for accounting purposes) and shall cease to accrue interest on and after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2.09.</w:t>
        <w:tab/>
        <w:t>     </w:t>
      </w:r>
      <w:r>
        <w:rPr>
          <w:rFonts w:ascii="Times New Roman;Times;Serif" w:hAnsi="Times New Roman;Times;Serif"/>
          <w:b w:val="false"/>
          <w:i/>
          <w:caps w:val="false"/>
          <w:smallCaps w:val="false"/>
          <w:sz w:val="20"/>
        </w:rPr>
        <w:t>Treasury Notes</w:t>
      </w:r>
      <w:r>
        <w:rPr>
          <w:rFonts w:ascii="Times New Roman;Times;Serif" w:hAnsi="Times New Roman;Times;Serif"/>
          <w:b w:val="false"/>
          <w:i w:val="false"/>
          <w:caps w:val="false"/>
          <w:smallCaps w:val="false"/>
          <w:sz w:val="20"/>
        </w:rPr>
        <w:t>. In determining whether the Holders of the required principal amount of Notes have concurred in any direction, waiver or consent, Notes owned by the Issuer or by any Affiliate of the Issuer, shall be considered as though not outstanding, except that for the purposes of determining whether the Trustee shall be protected in relying on any such direction, waiver or consent, only Notes that a Responsible Officer of the Trustee actually knows are so owned shall be so disregarded. Notes so owned which have been pledged in good faith shall not be disregarded if the pledgee establishes to the satisfaction of the Trustee the pledgee’s right to deliver any such direction, waiver or consent with respect to such pledged Notes and that the pledgee is not the Issuer or a Guarantor or any Affiliate of the Issuer or a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2.10.</w:t>
        <w:tab/>
        <w:t>     </w:t>
      </w:r>
      <w:r>
        <w:rPr>
          <w:rFonts w:ascii="Times New Roman;Times;Serif" w:hAnsi="Times New Roman;Times;Serif"/>
          <w:b w:val="false"/>
          <w:i/>
          <w:caps w:val="false"/>
          <w:smallCaps w:val="false"/>
          <w:sz w:val="20"/>
        </w:rPr>
        <w:t>Temporary Notes</w:t>
      </w:r>
      <w:r>
        <w:rPr>
          <w:rFonts w:ascii="Times New Roman;Times;Serif" w:hAnsi="Times New Roman;Times;Serif"/>
          <w:b w:val="false"/>
          <w:i w:val="false"/>
          <w:caps w:val="false"/>
          <w:smallCaps w:val="false"/>
          <w:sz w:val="20"/>
        </w:rPr>
        <w:t>. Until certificates representing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Without unreasonable delay, the Issuer shall prepare and the Trustee shall authenticate definitive Notes in exchange for temporary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and beneficial holders, as the case may be, of temporary Notes shall be entitled to all of the benefits accorded to Holders, or beneficial holders, respectively, of Notes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2.11.</w:t>
        <w:tab/>
        <w:t>     </w:t>
      </w:r>
      <w:r>
        <w:rPr>
          <w:rFonts w:ascii="Times New Roman;Times;Serif" w:hAnsi="Times New Roman;Times;Serif"/>
          <w:b w:val="false"/>
          <w:i/>
          <w:caps w:val="false"/>
          <w:smallCaps w:val="false"/>
          <w:sz w:val="20"/>
        </w:rPr>
        <w:t>Cancellation</w:t>
      </w:r>
      <w:r>
        <w:rPr>
          <w:rFonts w:ascii="Times New Roman;Times;Serif" w:hAnsi="Times New Roman;Times;Serif"/>
          <w:b w:val="false"/>
          <w:i w:val="false"/>
          <w:caps w:val="false"/>
          <w:smallCaps w:val="false"/>
          <w:sz w:val="20"/>
        </w:rPr>
        <w:t>. The Issuer at any time may deliver Notes to the Trustee for cancellation. The Registrar and Paying Agent shall forward to the 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dispose of such cancelled Notes in its customary manner. Certification of the cancellation of all cancelled Notes shall be delivered to the Issuer upon its written request therefor. The Issuer may not issue new Notes to replace Notes that it has paid or that have been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2.12.</w:t>
        <w:tab/>
        <w:t>     </w:t>
      </w:r>
      <w:r>
        <w:rPr>
          <w:rFonts w:ascii="Times New Roman;Times;Serif" w:hAnsi="Times New Roman;Times;Serif"/>
          <w:b w:val="false"/>
          <w:i/>
          <w:caps w:val="false"/>
          <w:smallCaps w:val="false"/>
          <w:sz w:val="20"/>
        </w:rPr>
        <w:t>Defaulted Interest</w:t>
      </w:r>
      <w:r>
        <w:rPr>
          <w:rFonts w:ascii="Times New Roman;Times;Serif" w:hAnsi="Times New Roman;Times;Serif"/>
          <w:b w:val="false"/>
          <w:i w:val="false"/>
          <w:caps w:val="false"/>
          <w:smallCaps w:val="false"/>
          <w:sz w:val="20"/>
        </w:rPr>
        <w:t xml:space="preserve">. If the Issuer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Section 4.01 hereof. The Issuer shall notify the Trustee in writing of the amount of defaulted interest proposed to be paid on each Note and the date of the proposed payment, and at the same time the Issuer shall deposit with the Trustee an amount of money equal to the aggregate amount proposed to be paid in respect of such defaulted interest or shall make arrangements reasonably satisfactory to the Trustee for such deposit prior to the date of the proposed payment, such money when deposited to be held in trust for the benefit of the Persons entitled to such defaulted interest as provided in this Section 2.12. The Trustee shall fix or cause to be fixed any such special record date and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such special record date shall be less than 10 days prior to the related payment date for such defaulted interest. The Trustee shall promptly notify the Issuer of any such special record date. At least 15 days before any such special record date, the Issuer (or, upon the written request of the Issuer, the Trustee in the name and at the expense of the Issuer) shall mail or cause to be mailed, first-class postage prepaid, or otherwise deliver in accordance with the Applicable Procedures, to each Holder, with a copy to the Trustee, a notice at his or her address as it appears in the Note Register that states the special record date, the related payment date and the amount of such interest to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2.12 and for greater certainty, each Note delivered under this Indenture upon registration of transfer of or in exchange for or in lieu of any other Note shall carry the rights to interest accrued and unpaid, and to accrue, which were carried by such other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2.13.</w:t>
        <w:tab/>
        <w:t>     </w:t>
      </w:r>
      <w:r>
        <w:rPr>
          <w:rFonts w:ascii="Times New Roman;Times;Serif" w:hAnsi="Times New Roman;Times;Serif"/>
          <w:b w:val="false"/>
          <w:i/>
          <w:caps w:val="false"/>
          <w:smallCaps w:val="false"/>
          <w:sz w:val="20"/>
        </w:rPr>
        <w:t>CUSIP Numbers; ISINs</w:t>
      </w:r>
      <w:r>
        <w:rPr>
          <w:rFonts w:ascii="Times New Roman;Times;Serif" w:hAnsi="Times New Roman;Times;Serif"/>
          <w:b w:val="false"/>
          <w:i w:val="false"/>
          <w:caps w:val="false"/>
          <w:smallCaps w:val="false"/>
          <w:sz w:val="20"/>
        </w:rPr>
        <w:t xml:space="preserve">. The Issuer in issuing the Notes may use CUSIP numbers and ISINs (in each case, if then generally in use) and, if so, the Trustee shall use CUSIP numbers and ISINs in notices of redemption or exchange as a convenience to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such notice may state that no representation is made as to the correctness of such numbers either as printed on the Notes or as contained in any notice of redemption or exchange and that reliance may be placed only on the other identification numbers printed on the Notes, and any such redemption shall not be affected by any defect in or omission of such numbers. The Issuer will as promptly as practicable notify the Trustee in writing of any change in the CUSIP numbers and ISINs.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3</w:t>
      </w:r>
      <w:r>
        <w:rPr>
          <w:rFonts w:ascii="Times New Roman;Times;Serif" w:hAnsi="Times New Roman;Times;Serif"/>
          <w:b w:val="false"/>
          <w:i w:val="false"/>
          <w:smallCaps/>
          <w:sz w:val="20"/>
        </w:rPr>
        <w:br/>
        <w:t>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3.01.</w:t>
        <w:tab/>
        <w:t>     </w:t>
      </w:r>
      <w:r>
        <w:rPr>
          <w:rFonts w:ascii="Times New Roman;Times;Serif" w:hAnsi="Times New Roman;Times;Serif"/>
          <w:b w:val="false"/>
          <w:i/>
          <w:caps w:val="false"/>
          <w:smallCaps w:val="false"/>
          <w:sz w:val="20"/>
        </w:rPr>
        <w:t>Notices to Trustee</w:t>
      </w:r>
      <w:r>
        <w:rPr>
          <w:rFonts w:ascii="Times New Roman;Times;Serif" w:hAnsi="Times New Roman;Times;Serif"/>
          <w:b w:val="false"/>
          <w:i w:val="false"/>
          <w:caps w:val="false"/>
          <w:smallCaps w:val="false"/>
          <w:sz w:val="20"/>
        </w:rPr>
        <w:t>. If the Issuer elects to redeem Notes pursuant to Section 3.07 hereof, it shall furnish to the Trustee, at least two Business Days (unless a shorter notice shall be agreed to by the Trustee) before notice of redemption is required to be delivered or mailed to Holders pursuant to Section 3.03 hereof, an Officer’s Certificate setting forth (a) the paragraph or subparagraph of such Note and/or Section of this Indenture pursuant to which the redemption shall occur, (b) the date of redemption (the “</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(c) the principal amount of the Notes to be redeemed and (d)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3.02.</w:t>
        <w:tab/>
        <w:t>     </w:t>
      </w:r>
      <w:r>
        <w:rPr>
          <w:rFonts w:ascii="Times New Roman;Times;Serif" w:hAnsi="Times New Roman;Times;Serif"/>
          <w:b w:val="false"/>
          <w:i/>
          <w:caps w:val="false"/>
          <w:smallCaps w:val="false"/>
          <w:sz w:val="20"/>
        </w:rPr>
        <w:t>Selection of Notes to Be Redeemed</w:t>
      </w:r>
      <w:r>
        <w:rPr>
          <w:rFonts w:ascii="Times New Roman;Times;Serif" w:hAnsi="Times New Roman;Times;Serif"/>
          <w:b w:val="false"/>
          <w:i w:val="false"/>
          <w:caps w:val="false"/>
          <w:smallCaps w:val="false"/>
          <w:sz w:val="20"/>
        </w:rPr>
        <w:t>. Subject to DTC requirements, if less than all of the Notes are to be redeemed at any time, the Trustee shall select the Notes to be redeemed (a) if the Notes are listed on an exchange, in compliance with the requirements of such exchange or (b) on a pro rata basis to the extent practicable, or, if the pro rata basis is not practicable for any reason, by lot or by such other method as the Trustee shall deem fair and appropriate and otherwise in accordance with the Applicable Procedures. In the event of partial redemption by lot, the particular Notes to be redeemed shall be selected, unless otherwise provided herein, not less than 10 nor more than 60 days prior to the Redemption Date by the Trustee from the outstanding Notes not previously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promptly notify the Issuer in writing of the Notes selected for redemption and, in the case of any Note selected for partial redemption, the principal amount thereof to be redeemed. No Notes of $2,000 or less can be redeemed in part, except that if all of the Notes of a Holder are to be redeemed, the entire outstanding amount of Notes held by such Holder shall be redeemed or purchased, even if not in a principal amount of at least $2,000. Except as provided in the preceding sentence, provisions of this Indenture that apply to Notes called for redemption also apply to portions of Notes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3.03.</w:t>
        <w:tab/>
        <w:t>     </w:t>
      </w:r>
      <w:r>
        <w:rPr>
          <w:rFonts w:ascii="Times New Roman;Times;Serif" w:hAnsi="Times New Roman;Times;Serif"/>
          <w:b w:val="false"/>
          <w:i/>
          <w:caps w:val="false"/>
          <w:smallCaps w:val="false"/>
          <w:sz w:val="20"/>
        </w:rPr>
        <w:t>Notice of Redemption</w:t>
      </w:r>
      <w:r>
        <w:rPr>
          <w:rFonts w:ascii="Times New Roman;Times;Serif" w:hAnsi="Times New Roman;Times;Serif"/>
          <w:b w:val="false"/>
          <w:i w:val="false"/>
          <w:caps w:val="false"/>
          <w:smallCaps w:val="false"/>
          <w:sz w:val="20"/>
        </w:rPr>
        <w:t>. Subject to Section 3.09 hereof, the Issuer shall deliver electronically, mail or cause to be mailed by first-class mail, postage prepaid, notices of redemption at least 10 days but not more than 60 days before the Redemption Date to each Holder of Notes to be redeemed at such Holder’s registered address stated in the Note Register or otherwise in accordance with the Applicable Procedures, except that redemption notices may be delivered electronically or mailed more than 60 days prior to a Redemption Date if the notice is issued in connection with Article 8 or Article 11 hereof. Notices of redemption may, at the Issuer’s discretion, be conditional.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identify the Notes to be redeemed and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any Definitive Note is to be redeemed in part only, the portion of the principal amount of that Note that is to be redeemed and that, after the Redemption Date upon surrender of such Note, a new Note or Notes in principal amount equal to the unredeemed portion of the original Note representing the same indebtedness to the extent not redeemed will be issued in the name of the Holder upon cancellation of the original Note;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new Notes will only be issued in denominations of $2,000 and integral multiples of $1,000 in excess of $2,000;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name and address of the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Notes called for redemption must be surrendered to the Paying Agent to collect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unless the Issuer defaults in making such redemption payment, interest on Notes called for redemption ceases to accrue on and after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paragraph or subparagraph of the Notes and/or Section of this Indenture pursuant to which the Notes called for redemption are being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CUSIP number and ISIN, if any, printed on the Notes being redeemed and that no representation is made as to the correctness or accuracy of any such CUSIP number and ISIN that is listed in such notice or printed on the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condition to such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Issuer’s request, the Trustee shall give the notice of redemption in the Issuer’s name and at its expense;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Issuer shall have delivered to the Trustee, at least two Business Days before notice of redemption is required to be delivered, mailed or caused to be mailed to Holders pursuant to this Section 3.03 (unless a shorter notice shall be agreed to by the Trustee), an Officer’s Certificate requesting that the Trustee give such notice and setting forth the information to be stated in such notice as provided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Notes are listed on an exchange, for so long as the Notes are so listed and the rules of such exchange so require, the Issuer will notify the exchange of any such redemption and, if applicable, of the principal amount of any Notes outstanding following any partial redemption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3.04.</w:t>
        <w:tab/>
        <w:t>     </w:t>
      </w:r>
      <w:r>
        <w:rPr>
          <w:rFonts w:ascii="Times New Roman;Times;Serif" w:hAnsi="Times New Roman;Times;Serif"/>
          <w:b w:val="false"/>
          <w:i/>
          <w:caps w:val="false"/>
          <w:smallCaps w:val="false"/>
          <w:sz w:val="20"/>
        </w:rPr>
        <w:t>Effect of Notice of Redemption</w:t>
      </w:r>
      <w:r>
        <w:rPr>
          <w:rFonts w:ascii="Times New Roman;Times;Serif" w:hAnsi="Times New Roman;Times;Serif"/>
          <w:b w:val="false"/>
          <w:i w:val="false"/>
          <w:caps w:val="false"/>
          <w:smallCaps w:val="false"/>
          <w:sz w:val="20"/>
        </w:rPr>
        <w:t>. A notice of redemption, if delivered, mailed or caused to be mailed in a manner herein provided, shall be conclusively presumed to have been given, whether or not the Holder receives such notice. In any case, failure to deliver such notice or any defect in the notice to the Holder of any Note designated for redemption in whole or in part shall not affect the validity of the proceedings for the redemption of any other Note. Subject to Section 3.05 hereof, on and after the Redemption Date, interest shall cease to accrue on Notes or portions of Notes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3.05.</w:t>
        <w:tab/>
        <w:t>     </w:t>
      </w:r>
      <w:r>
        <w:rPr>
          <w:rFonts w:ascii="Times New Roman;Times;Serif" w:hAnsi="Times New Roman;Times;Serif"/>
          <w:b w:val="false"/>
          <w:i/>
          <w:caps w:val="false"/>
          <w:smallCaps w:val="false"/>
          <w:sz w:val="20"/>
        </w:rPr>
        <w:t>Deposit of Redemption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11:00 a.m. (New York City time) on the Redemption Date, the Issuer shall deposit with the Trustee or with the Paying Agent money sufficient to pay the redemption price of and accrued and unpaid interest on all Notes to be redeemed on that Redemption Date. The Trustee or the Paying Agent shall promptly return to the Issuer any money deposited with the Trustee or the Paying Agent by the Issuer in excess of the amounts necessary to pay the redemption price of, and accrued and unpaid interest on, all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Issuer complies with the provisions of the preceding paragraph (a), on and after the Redemption Date, interest shall cease to accrue on the Notes or the portions of Notes called for redemption. If a Note is redeemed on or after a Record Date but on or prior to the related Interest Payment Date, then any accrued and unpaid interest to, but excluding, the Redemption Date shall be paid to the Person in whose name such Note was registered at the close of business on such Record Date, and no additional interest will be payable to Holders whose notes will be subject to redemption by the Issuer. If any Note called for redemption shall not be so paid upon surrender for redemption because of the failure of the Issuer to comply with the preceding paragraph, interest shall be paid on the unpaid principal, from the Redemption Date until such principal is paid, and to the extent lawful on any interest accrued to the Redemption Date not paid on such unpaid principal, in each case at the rate provided in the Notes and in Section 4.01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3.06.</w:t>
        <w:tab/>
        <w:t>     </w:t>
      </w:r>
      <w:r>
        <w:rPr>
          <w:rFonts w:ascii="Times New Roman;Times;Serif" w:hAnsi="Times New Roman;Times;Serif"/>
          <w:b w:val="false"/>
          <w:i/>
          <w:caps w:val="false"/>
          <w:smallCaps w:val="false"/>
          <w:sz w:val="20"/>
        </w:rPr>
        <w:t>Notes Redeemed in Part</w:t>
      </w:r>
      <w:r>
        <w:rPr>
          <w:rFonts w:ascii="Times New Roman;Times;Serif" w:hAnsi="Times New Roman;Times;Serif"/>
          <w:b w:val="false"/>
          <w:i w:val="false"/>
          <w:caps w:val="false"/>
          <w:smallCaps w:val="false"/>
          <w:sz w:val="20"/>
        </w:rPr>
        <w:t xml:space="preserve">. Upon surrender of a Definitive Note that is redeemed in part, the Issuer shall issue and the Trustee shall authenticate for the Holder at the expense of the Issuer a new Note equal in principal amount to the unredeemed portion of the Note surrendered representing the same indebtedness to the extent not redeemed;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each new Note will be in a principal amount of $2,000 and any integral multiple of $1,000 in excess of $2,000. It is understood that, notwithstanding anything to the contrary in this Indenture, only an Authentication Order and not an Opinion of Counsel or Officer’s Certificate is required for the Trustee to authenticate such new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3.07.</w:t>
        <w:tab/>
        <w:t>     </w:t>
      </w:r>
      <w:r>
        <w:rPr>
          <w:rFonts w:ascii="Times New Roman;Times;Serif" w:hAnsi="Times New Roman;Times;Serif"/>
          <w:b w:val="false"/>
          <w:i/>
          <w:caps w:val="false"/>
          <w:smallCaps w:val="false"/>
          <w:sz w:val="20"/>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prior to July 15, 2029 the Issuer may on one or more occasions redeem all or a part of the Notes, upon notice in accordance with Section 3.03 hereof, at a redemption price equal to 100.0% of the principal amount of the Notes redeemed, plus the Applicable Premium as of, plus accrued and unpaid interest, if any, to, but excluding, the Redemption Date, subject to the right of Holders of record on the relevant Record Date to receive interest due on the relevant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and after July 15, 2029, the Issuer may redeem the Notes, in whole or in part, upon notice in accordance with Section 3.03 hereof at the redemption prices (expressed as percentages of principal amount of the Notes to be redeemed) set forth below, plus accrued and unpaid interest, if any, thereon to, but excluding, the applicable Redemption Date, subject to the right of Holders of record on the relevant Record Date to receive interest due on the relevant Interest Payment Date, if redeemed during the twelve-month period beginning on July 15 of each of the years indicated below:</w:t>
      </w:r>
    </w:p>
    <w:p>
      <w:pPr>
        <w:pStyle w:val="TextBody"/>
        <w:bidi w:val="0"/>
        <w:spacing w:before="0" w:after="0"/>
        <w:ind w:left="0" w:right="0" w:hanging="0"/>
        <w:jc w:val="left"/>
        <w:rPr>
          <w:caps w:val="false"/>
          <w:smallCaps w:val="false"/>
        </w:rPr>
      </w:pPr>
      <w:r>
        <w:rPr>
          <w:caps w:val="false"/>
          <w:smallCaps w:val="false"/>
        </w:rPr>
        <w:t> </w:t>
      </w:r>
    </w:p>
    <w:tbl>
      <w:tblPr>
        <w:tblW w:w="2840" w:type="dxa"/>
        <w:jc w:val="center"/>
        <w:tblInd w:w="0" w:type="dxa"/>
        <w:tblLayout w:type="fixed"/>
        <w:tblCellMar>
          <w:top w:w="0" w:type="dxa"/>
          <w:left w:w="0" w:type="dxa"/>
          <w:bottom w:w="28" w:type="dxa"/>
          <w:right w:w="0" w:type="dxa"/>
        </w:tblCellMar>
      </w:tblPr>
      <w:tblGrid>
        <w:gridCol w:w="1610"/>
        <w:gridCol w:w="65"/>
        <w:gridCol w:w="82"/>
        <w:gridCol w:w="883"/>
        <w:gridCol w:w="200"/>
      </w:tblGrid>
      <w:tr>
        <w:trPr/>
        <w:tc>
          <w:tcPr>
            <w:tcW w:w="16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tab/>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103.125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tab/>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101.563</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and thereafter</w:t>
              <w:tab/>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Until July 15, 2029, the Issuer may, at its option, and on one or more occasions, redeem up to 40% of the aggregate principal amount of Notes issued under this Indenture at a redemption price equal to 106.250% of the aggregate principal amount of the Notes, plus accrued and unpaid interest, if any, to, but excluding, the Redemption Date, subject to the right of Holders of record on the relevant Record Date to receive interest due on the relevant Interest Payment Date, with the net cash proceeds received by it from one or more Equity Offerings or a contribution to the Issuer’s common equity capital made with the net cash proceeds of a concurrent Equity Offering;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 at least 40% of the aggregate principal amount of Notes originally issued under this Indenture on the Issue Date and any Additional Notes issued under this Indenture after the Issue Date remains outstanding immediately after the occurrence of each such redemption, unless all such Notes are redeemed substantially concurrently; and (B) each such redemption occurs within 180 days of the date of closing of each such Equity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redemption pursuant to this Section 3.07, Parent or any of its Subsidiaries or Affiliates may at any time and from time to time purchase the Notes in the open market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pursuant to any of clauses (a) through (c) of this Section 3.07 and as set forth in Section 4.14(f), the Notes will not be redeemable at the Issuer’s option prior to July 15,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redemption pursuant to this Section 3.07 shall be made pursuant to the provisions of Sections 3.01 through 3.06 hereof. Notice of any redemption, whether in connection with an Equity Offering, an incurrence of Indebtedness, a Change of Control or otherwise, may be given prior to the completion thereof, and any such redemption or notice may, at the Issuer’s discretion, be subject to one or more conditions precedent, including, but not limited to, completion of such corporate transaction. If such redemption or purchase is so subject to satisfaction of one or more conditions precedent, such notice shall describe each such condition, and if applicable, shall state that, in the Issuer’s discretion, the Redemption Date may be delayed until such time (including more than 60 days after the date the notice of redemption was mailed or delivered, including by electronic transmission)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 If any Notes are listed on an exchange, and the rules of such exchange so require, the Issuer shall notify the exchange of any such notice of redemption. In addition, the Issuer shall notify the exchange of the principal amount of any Notes outstanding following any partial redemption of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have no duty to calculate or verify the calculation of the Applicable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the optional Redemption Date is on or after a Record Date and on or before the related Interest Payment Date, the accrued and unpaid interest up to, but excluding, the Redemption Date will be paid on the Redemption Date to the Person in whose name the Note is registered at the close of business on such Record Date in accordance with the Applicable Procedures, and no additional interest will be payable to Holders whose Notes will be subject to redemption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Unless the Issuer defaults in the payment of the redemption price, interest will cease to accrue on the Notes or portions thereof called for redemption on the applicable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Holders of not less than 90% in aggregate principal amount of the outstanding Notes validly tender and do not withdraw such Notes in an Asset Sale Offer and the Issuer purchases all of the Notes validly tendered and not withdrawn by such Holders, the Issuer or such third party will have the right, upon not less than 10 nor more than 60 calendar days’ prior notice, given not more than 30 days following such purchase pursuant to the Asset Sale Offer described in Section 4.10, to redeem all Notes that remain outstanding following such purchase at a price in cash equal to 101% of the principal amount thereof plus accrued and unpaid interest to, but excluding the date of redemption. In determining whether the Holders of at least 90% of the aggregate principal amount of the outstanding Notes have validly tendered and not validly withdrawn such Notes in a tender offer, including a Change of Control Offer or Asset Sale Offer, Notes owned by the Parent or its Affiliates or by funds controlled or managed by any Affiliate of the Parent, or any successor thereof, shall be deemed to be outstanding for the purposes of such tender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the extent that the provisions of any securities laws, rules and regulations, including Rule 14e-1 under the Exchange Act, conflict with the provisions of this Indenture, the Issuer shall not be deemed to have breached its obligations described in this Indenture by virtue of compliance therewith. The Issuer may rely on any no-action letters issued by the SEC indicating that the staff of the SEC will not recommend enforcement action in the event a tender offer satisfies certain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Holders of not less than 90% in aggregate principal amount of the outstanding Notes validly tender and do not withdraw such Notes in a Change of Control Offer and the Issuer, or any third party making a Change of Control Offer in lieu of the Issuer as described in Section 4.14, purchases all of the Notes validly tendered and not withdrawn by such Holders, the Issuer or such third party shall have the right, upon not less than 10 nor more than 60 calendar days’ prior notice, given not more than 30 days following such purchase pursuant to the Change of Control Offer described in Section 4.14, to redeem all Notes that remain outstanding following such purchase at a price in cash equal to 101% of the principal amount thereof plus accrued and unpaid interest to, but excluding the date of redemption. In determining whether the Holders of at least 90% of the aggregate principal amount of the outstanding Notes have validly tendered and not validly withdrawn such Notes in a tender offer, including a Change of Control Offer or Asset Sale Offer, Notes owned by the Parent or its Affiliates or by funds controlled or managed by any Affiliate of the Parent, or any successor thereof, shall be deemed to be outstanding for the purposes of such tender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3.08.</w:t>
        <w:tab/>
        <w:t>     </w:t>
      </w:r>
      <w:r>
        <w:rPr>
          <w:rFonts w:ascii="Times New Roman;Times;Serif" w:hAnsi="Times New Roman;Times;Serif"/>
          <w:b w:val="false"/>
          <w:i/>
          <w:caps w:val="false"/>
          <w:smallCaps w:val="false"/>
          <w:sz w:val="20"/>
        </w:rPr>
        <w:t>Mandatory Redemption</w:t>
      </w:r>
      <w:r>
        <w:rPr>
          <w:rFonts w:ascii="Times New Roman;Times;Serif" w:hAnsi="Times New Roman;Times;Serif"/>
          <w:b w:val="false"/>
          <w:i w:val="false"/>
          <w:caps w:val="false"/>
          <w:smallCaps w:val="false"/>
          <w:sz w:val="20"/>
        </w:rPr>
        <w:t>. The Issuer shall not be required to make any mandatory redemption or sinking fund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3.09.</w:t>
        <w:tab/>
        <w:t>     </w:t>
      </w:r>
      <w:r>
        <w:rPr>
          <w:rFonts w:ascii="Times New Roman;Times;Serif" w:hAnsi="Times New Roman;Times;Serif"/>
          <w:b w:val="false"/>
          <w:i/>
          <w:caps w:val="false"/>
          <w:smallCaps w:val="false"/>
          <w:sz w:val="20"/>
        </w:rPr>
        <w:t>Offers to Repurchase by Application of Excess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pursuant to Section 4.10 hereof, the Issuer shall be required to commence an Asset Sale Offer, it shall follow the procedures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Asset Sale Offer shall remain open for a period of 20 Business Days following its commencement and no longer, except to the extent that a longer period is required by applicable law (the “</w:t>
      </w:r>
      <w:r>
        <w:rPr>
          <w:rFonts w:ascii="Times New Roman;Times;Serif" w:hAnsi="Times New Roman;Times;Serif"/>
          <w:b/>
          <w:i w:val="false"/>
          <w:caps w:val="false"/>
          <w:smallCaps w:val="false"/>
          <w:sz w:val="20"/>
        </w:rPr>
        <w:t>Offer Period</w:t>
      </w:r>
      <w:r>
        <w:rPr>
          <w:rFonts w:ascii="Times New Roman;Times;Serif" w:hAnsi="Times New Roman;Times;Serif"/>
          <w:b w:val="false"/>
          <w:i w:val="false"/>
          <w:caps w:val="false"/>
          <w:smallCaps w:val="false"/>
          <w:sz w:val="20"/>
        </w:rPr>
        <w:t>”). No later than five Business Days after the termination of the Offer Period (the “</w:t>
      </w:r>
      <w:r>
        <w:rPr>
          <w:rFonts w:ascii="Times New Roman;Times;Serif" w:hAnsi="Times New Roman;Times;Serif"/>
          <w:b/>
          <w:i w:val="false"/>
          <w:caps w:val="false"/>
          <w:smallCaps w:val="false"/>
          <w:sz w:val="20"/>
        </w:rPr>
        <w:t>Purchase Date</w:t>
      </w:r>
      <w:r>
        <w:rPr>
          <w:rFonts w:ascii="Times New Roman;Times;Serif" w:hAnsi="Times New Roman;Times;Serif"/>
          <w:b w:val="false"/>
          <w:i w:val="false"/>
          <w:caps w:val="false"/>
          <w:smallCaps w:val="false"/>
          <w:sz w:val="20"/>
        </w:rPr>
        <w:t>”), the Issuer shall apply all Excess Proceeds (the “</w:t>
      </w:r>
      <w:r>
        <w:rPr>
          <w:rFonts w:ascii="Times New Roman;Times;Serif" w:hAnsi="Times New Roman;Times;Serif"/>
          <w:b/>
          <w:i w:val="false"/>
          <w:caps w:val="false"/>
          <w:smallCaps w:val="false"/>
          <w:sz w:val="20"/>
        </w:rPr>
        <w:t>Offer Amount</w:t>
      </w:r>
      <w:r>
        <w:rPr>
          <w:rFonts w:ascii="Times New Roman;Times;Serif" w:hAnsi="Times New Roman;Times;Serif"/>
          <w:b w:val="false"/>
          <w:i w:val="false"/>
          <w:caps w:val="false"/>
          <w:smallCaps w:val="false"/>
          <w:sz w:val="20"/>
        </w:rPr>
        <w:t>”) to the purchase of Notes and, if required, Pari Passu Indebtedness (on a pro rata basis, if applicable, with adjustments as necessary so that no Notes or Pari Passu Indebtedness will be repurchased in part in an unauthorized denomination), or, if less than the Offer Amount has been tendered, all Notes and Pari Passu Indebtedness tendered in response to the Asset Sale Offer. Payment for any Notes so purchased shall be made in the same manner as interest payments are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Purchase Date is on or after a Record Date and on or before the related Interest Payment Date, any accrued and unpaid interest, up to but excluding the Purchase Date, shall be paid to the Person in whose name a Note is registered at the close of business on such Record Date, and no additional interest shall be payable to Holders who tender Notes pursuant to the Asset Sale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the commencement of an Asset Sale Offer, the Issuer shall deliver electronically or send, by first-class mail, a notice to each of the Holders, with a copy to the Trustee. The notice shall contain all instructions and materials necessary to enable such Holders to tender Notes pursuant to the Asset Sale Offer. The Asset Sale Offer shall be made to all Holders and holders of such Pari Passu Indebtedness. The notice, which shall govern the terms of the Asset Sale Offer,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the Asset Sale Offer is being made pursuant to this Section 3.09 and Section 4.10 hereof and the length of time the Asset Sale Offer shall remain open;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Offer Amount, the purchase price and the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any Note not tendered or accepted for payment shall continue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unless the Issuer defaults in making such payment, any Note accepted for payment pursuant to the Asset Sale Offer shall cease to accrue interest on and after the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any Holder electing to have less than all of the aggregate principal amount of its Notes purchased pursuant to an Asset Sale Offer may elect to have Notes purchased in an amount not less than $2,000 and in integral multiples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that Holders electing to have a Note purchased pursuant to any Asset Sale Offer shall be required to surrender the Note, with the form entitled “Option of Holder to Elect Purchase” attached to the Note completed, or transfer such Note by book-entry transfer, to the Issuer, the Depositary, if appointed by the Issuer, or a Paying Agent at the address specified in the notice at least two Business Days before the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that Holders shall be entitled to withdraw their election if the Issuer, the Depositary or the Paying Agent, as the case may be, receives, not later than the close of business on the second Business Day prior to the expiration date of the Offer Period, a letter setting forth the name of the Holder, the principal amount of the Note the Holder delivered for purchase and a statement that such Holder is withdrawing his election to have such Note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that, if the aggregate principal amount of Notes and Pari Passu Indebtedness surrendered by the holders thereof exceeds the Offer Amount, the Trustee shall, through the facilities of the Depositary (in the case of Global Notes) select the Notes and the Issuer shall select such Pari Passu Indebtedness to be purchased on a pro rata basis based on the accreted value or principal amount of the Notes or such Pari Passu Indebtedness tendered (with such adjustments as may be deemed appropriate by the Trustee so that only Notes in an amount not less than $2,000 or integral multiples of $1,000 in excess thereof are purchased);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that Holders whose certificated Notes were purchased only in part shall be issued new Notes equal in principal amount to the unpurchased portion of the Notes surrendered (or transferred by book-entry transfer) representing the same indebtedness to the extent not repurchased;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new Notes will only be issued in denominations of $2,000 and integral multiples of $1,000 in excess of $2,000.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or before the Purchase Date, the Issuer shall, to the extent lawful, (1) accept for payment, on a pro rata basis as described in clause (d)(viii) of this Section 3.09, the Offer Amount of Notes or portions thereof validly tendered pursuant to the Asset Sale Offer, or if less than the Offer Amount has been tendered, all Notes tendered and (2) deliver or cause to be delivered to the Trustee the Notes properly accepted, together with an Officer’s Certificate stating the aggregate principal amount of Notes or portions thereof so tendered.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Issuer, the Depositary or the Paying Agent, as the case may be, shall promptly mail or deliver to each tendering Holder an amount equal to the purchase price of the Notes properly tendered by such Holder and accepted by the Issuer for purchase, and the Issuer shall promptly issue a new Note, and the Trustee, upon receipt of an Authentication Order, shall authenticate and mail or deliver (or cause to be transferred by book-entry) such new Note to such Holder (it being understood that, notwithstanding anything in this Indenture to the contrary, no Opinion of Counsel or Officer’s Certificate is required for the Trustee to authenticate and mail or deliver such new Note) in a principal amount equal to any unpurchased portion of the Note surrendered representing the same indebtedness to the extent not repurchased. Any Note not so accepted shall be promptly mailed or delivered by the Issuer to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Prior to 11:00 a.m. (New York City time) on the purchase date, the Issuer shall deposit with the Trustee or with the Paying Agent money sufficient to pay the purchase price of and accrued and unpaid interest on all Notes to be purchased on that purchase date. The Trustee or the Paying Agent shall promptly return to the Issuer any money deposited with the Trustee or the Paying Agent by the Issuer in excess of the amounts necessary to pay the purchase price of, and accrued and unpaid interest on, all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notice, if delivered or mailed in a manner herein provided, shall be conclusively presumed to have been given, whether or not the Holder receives such notice. If (i) the notice is delivered or mailed in a manner herein provided and (ii) any Holder fails to receive such notice or a Holder receives such notice but it is defective, such Holder’s failure to receive such notice or such defect shall not affect the validity of the proceedings for the purchase of the Notes as to all other Holders that properly received such notice without defect. To the extent that the provisions of any securities laws, rules or regulations, including Rule 14e-1 under the Exchange Act, conflict with the provisions of this Indenture, the Issuer shall not be deemed to have breached its obligations described in this Indenture by virtue of compliance therewith. The Issuer may rely on any no-action letters issued by the SEC indicating that the staff of the SEC will not recommend enforcement action in the event a tender offer satisfies certain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specifically provided in this Section 3.09 or Section 4.10 hereof, any purchase pursuant to this Section 3.09 shall be made pursuant to the applicable provisions of Sections 3.01 through 3.06 hereof, and references therein to “redeem,” “redemption,” “Redemption Date” and similar words shall be deemed to refer to “purchase,” “repurchase,” “Purchase Date” and similar words,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4</w:t>
      </w:r>
      <w:r>
        <w:rPr>
          <w:rFonts w:ascii="Times New Roman;Times;Serif" w:hAnsi="Times New Roman;Times;Serif"/>
          <w:b w:val="false"/>
          <w:i w:val="false"/>
          <w:smallCaps/>
          <w:sz w:val="20"/>
        </w:rPr>
        <w:b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4.01.</w:t>
        <w:tab/>
        <w:t>     </w:t>
      </w:r>
      <w:r>
        <w:rPr>
          <w:rFonts w:ascii="Times New Roman;Times;Serif" w:hAnsi="Times New Roman;Times;Serif"/>
          <w:b w:val="false"/>
          <w:i/>
          <w:caps w:val="false"/>
          <w:smallCaps w:val="false"/>
          <w:sz w:val="20"/>
        </w:rPr>
        <w:t>Payment of Notes</w:t>
      </w:r>
      <w:r>
        <w:rPr>
          <w:rFonts w:ascii="Times New Roman;Times;Serif" w:hAnsi="Times New Roman;Times;Serif"/>
          <w:b w:val="false"/>
          <w:i w:val="false"/>
          <w:caps w:val="false"/>
          <w:smallCaps w:val="false"/>
          <w:sz w:val="20"/>
        </w:rPr>
        <w:t>. The Issuer shall pay or cause to be paid the principal of, premium, if any, and interest on the Notes on the dates and in the manner provided in the Notes and this Indenture. Principal, premium, if any, and interest shall be considered paid on the date due if the Paying Agent, if other than the Issuer or a Guarantor or an Affiliate of the Issuer or a Guarantor, holds as of 11:00 a.m. New York City time on the due date money deposited by the Issuer in immediately available funds and designated for and sufficient to pay all principal, premium, if any, and interest then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overdue principal at the rate equal to the then applicable interest rate on the Notes to the extent lawful; the Issuer shall pay interest on overdue installments of interest (without regard to any applicable grace period) at the same rate to the extent 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4.02.</w:t>
        <w:tab/>
        <w:t>     </w:t>
      </w:r>
      <w:r>
        <w:rPr>
          <w:rFonts w:ascii="Times New Roman;Times;Serif" w:hAnsi="Times New Roman;Times;Serif"/>
          <w:b w:val="false"/>
          <w:i/>
          <w:caps w:val="false"/>
          <w:smallCaps w:val="false"/>
          <w:sz w:val="20"/>
        </w:rPr>
        <w:t>Maintenance of Office or Agency</w:t>
      </w:r>
      <w:r>
        <w:rPr>
          <w:rFonts w:ascii="Times New Roman;Times;Serif" w:hAnsi="Times New Roman;Times;Serif"/>
          <w:b w:val="false"/>
          <w:i w:val="false"/>
          <w:caps w:val="false"/>
          <w:smallCaps w:val="false"/>
          <w:sz w:val="20"/>
        </w:rPr>
        <w:t>. The Issuer shall maintain the offices or agencies (which may be an office of the Trustee or an affiliate of the Trustee, Registrar or Transfer Agent) required under Section 2.03 hereof where Notes may be surrendered for registration of transfer or for exchange or presented for payment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may also from time to time designate one or more other offices or agencies where the Notes may be presented or surrendered for any or all such purposes and may from time to time rescind such designations;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such designation or rescission shall in any manner relieve the Issuer of its obligation to maintain such offices or agencies as required by Section 2.03 hereof for such purposes. The Issuer shall give prompt written notice to the Trustee of any such designation or rescission and of any change in the location of any such other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hereby designates the Corporate Trust Office as one such office or agency of the Issuer in accordance with Section 2.03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4.03.</w:t>
        <w:tab/>
        <w:t>     </w:t>
      </w:r>
      <w:r>
        <w:rPr>
          <w:rFonts w:ascii="Times New Roman;Times;Serif" w:hAnsi="Times New Roman;Times;Serif"/>
          <w:b w:val="false"/>
          <w:i/>
          <w:caps w:val="false"/>
          <w:smallCaps w:val="false"/>
          <w:sz w:val="20"/>
        </w:rPr>
        <w:t>Reports and Other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that Parent may not be subject to the reporting requirements of Section 13 or 15(d) of the Exchange Act or otherwise report on an annual and quarterly basis on forms provided for such annual and quarterly reporting pursuant to rules and regulations promulgated by the SEC, Parent shall furnish to the Trustee, within 15 days after the time periods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within 90 days after the end of each fiscal year, annual reports on Form 10-K, or any successor or comparable form, containing the information required to be contained therein, or required in such successor or comparable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within 45 days after the end of each of the first three fiscal quarters of each fiscal year, reports on Form 10-Q containing all quarterly information that would be required to be contained in Form 10-Q, or any successor or comparable form;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within five (5) Business Days of the date on which an event would have been required to be reported on a Form 8-K or any successor or comparable form if Parent had been a reporting company under the Exchange Act, a current report relating to such event on Form 8-K or any successor or comparable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in a manner that complies in all material respects with the requirements specified in such form (except as described above or below and subject, in the case of required financial information, to exceptions consistent with the presentation of financial information in the Offering Memorandum, to the extent filed within the times specified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Parent shall not be required to provide (i) segment reporting, (ii) the type of information contemplated by Rules 3-05, 3-09, 3-10, 3-16 or 4-08 of Regulation S-X or any schedules required by Regulation S-X, or in each case, any successor provisions, (iii) information required by Regulation G under the Exchange Act or Item 10, Item 302, Item 402 or Item 601 of Regulation S-K (or any successor provision), (iv) XBRL exhibits, (v) earnings per share information, (vi) information regarding executive compensation and related party disclosure related to SEC Release Nos. 33-8732A, 34-54302A and IC-27444A, and (vii) other information customarily excluded from an offering memorandum, including any information that is not otherwise of the type and form currently included in the offering memorandum relating to the Notes. In addition, to the extent not satisfied by the foregoing, Parent agrees that, for so long as any Notes are outstanding, it will furnish to Holders and to securities analysts and prospective investors, upon their request, the information required to be delivered pursuant to Rule 144A(d)(4)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and reporting required to be delivered to the Trustee as specified in this Section 4.03(a) shall be deemed to have been delivered to the Trustee and by the Trustee to the Holders if such information or reports shall be publicly available on the website of the SEC or similar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herein to the contrary, Parent will not be deemed to have failed to comply with any of its obligations hereunder for purposes of Section 6.01(a)(iii) hereof until 180 days after the receipt of the written notice delivered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information is not provided within the time periods specified in this Section 4.03 and such information is subsequently provided, Parent will be deemed to have satisfied its obligations with respect thereto at such time and any Default with respect thereto shall be deemed to have been 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set forth above, if Parent has furnished the Holders of Notes or filed with the SEC the reports described in the preceding paragraphs with respect to a parent entity of Parent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xml:space="preserve">”) that owns 100% of the common equity interests of Parent and unconditionally guarantees payment of the Notes, Parent shall be deemed to be in compliance with this section 4.03;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financial information so furnished relates to any Parent Entity, the same is accompanied by consolidating information that explains in reasonable detail (including select quantitative metrics) the differences between the information relating to such Parent Entity or Parent Entities, on the one hand, and the information relating to the Issuer and its Restricted Subsidiaries on a standalone basis, on the other hand. For the avoidance of doubt, the consolidating information referred to in the proviso in the preceding sentence need not be 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to monitor whether the Issuer posts such reports, information and documents on the website of the SEC or similar platform, or collect any such information from the website of the SEC or similar platform. The Trustee shall have no liability or responsibility for the content, filing or timeliness of any report delivered or filed under or in connection with this indenture or the transactions contemplated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4.04.</w:t>
        <w:tab/>
        <w:t>     </w:t>
      </w:r>
      <w:r>
        <w:rPr>
          <w:rFonts w:ascii="Times New Roman;Times;Serif" w:hAnsi="Times New Roman;Times;Serif"/>
          <w:b w:val="false"/>
          <w:i/>
          <w:caps w:val="false"/>
          <w:smallCaps w:val="false"/>
          <w:sz w:val="20"/>
        </w:rPr>
        <w:t>Compliance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deliver to the Trustee within 120 days after the end of each fiscal year of the Issuer an Officer’s Certificate, the signer of which shall be the principal executive officer, principal financial officer or principal accounting officer of Parent, stating that in the course of the performance by the signer of his or her duties as an Officer of Parent he or she would normally have knowledge of any Default or Event of Default and whether or not the signer knows of any Default or Event of Default that occurred during the previous fiscal year; provided that no such Officer’s Certificate shall be required for any fiscal year ended prior to the Issue Date. If such Officer does have such knowledge, the certificate shall describe the Default or Event of Default, its status and the action Parent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deliver to the Trustee, as soon as possible and in any event within 30 days after any Officer of Parent becomes aware of the occurrence of any Default or Event of Default, an Officer’s Certificate setting forth the details of such Event of Default or Default, its status and the actions which Parent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4.05.</w:t>
        <w:tab/>
        <w:t>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4.06.</w:t>
        <w:tab/>
        <w:t>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4.07.</w:t>
        <w:tab/>
        <w:t>     </w:t>
      </w:r>
      <w:r>
        <w:rPr>
          <w:rFonts w:ascii="Times New Roman;Times;Serif" w:hAnsi="Times New Roman;Times;Serif"/>
          <w:b w:val="false"/>
          <w:i/>
          <w:caps w:val="false"/>
          <w:smallCaps w:val="false"/>
          <w:sz w:val="20"/>
        </w:rPr>
        <w:t>Limitation on Restricted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will not, and will not permit any of its Restricted Subsidiaries to,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declare or pay any dividend or make any payment or distribution on account of Parent’s or any of its Restricted Subsidiaries’ Equity Interests (in each case, solely in such Person’s capacity as holder of such Equity Interests), including any dividend, payment or distribution payable in connection with any merger or consolidation other than: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dividends and distributions by Parent payable solely in Equity Interests (other than Disqualified Stock) of Parent;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dividends and distributions by a Restricted Subsidiary so long as, in the case of any dividend, payment or distribution payable on or in respect of any class or series of securities issued by a Restricted Subsidiary other than a Wholly-Owned Subsidiary, Parent or a Restricted Subsidiary receives at least its pro rata share of such dividend, payment or distribution in accordance with its Equity Interests in such class or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purchase, redeem, defease or otherwise acquire or retire for value any Equity Interests of Parent, including in connection with any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make any principal payment on, or redeem, repurchase, defease or otherwise acquire or retire for value, in each case, prior to any scheduled repayment, sinking fund payment or maturity, any Subordinated Indebtedness, other than: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Indebtedness permitted under clauses (vii) and (viii) of Section 4.09(b) 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purchase, repurchase or other acquisition of Subordinated Indebtedness purchased in anticipation of satisfying a sinking fund obligation, principal installment or final maturity, in each case due within one year of the date of purchase, repurchase or acquisition;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make any Restricted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payments and other actions set forth in clauses (i) through (iv) above being collectively referred to as “</w:t>
      </w:r>
      <w:r>
        <w:rPr>
          <w:rFonts w:ascii="Times New Roman;Times;Serif" w:hAnsi="Times New Roman;Times;Serif"/>
          <w:b/>
          <w:i w:val="false"/>
          <w:caps w:val="false"/>
          <w:smallCaps w:val="false"/>
          <w:sz w:val="20"/>
        </w:rPr>
        <w:t>Restricted Payments</w:t>
      </w:r>
      <w:r>
        <w:rPr>
          <w:rFonts w:ascii="Times New Roman;Times;Serif" w:hAnsi="Times New Roman;Times;Serif"/>
          <w:b w:val="false"/>
          <w:i w:val="false"/>
          <w:caps w:val="false"/>
          <w:smallCaps w:val="false"/>
          <w:sz w:val="20"/>
        </w:rPr>
        <w:t>”), unless, at the time of such Restricted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other than in the case of (x) a Restricted Investment or (y) amounts attributable to subclauses (2) through (5) of clause (B) below, no payment or bankruptcy Event of Default shall have occurred and be continuing or would occur as a consequence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Restricted Payment, together with the aggregate amount of all other Restricted Payments made by Parent and its Restricted Subsidiaries (and not returned or rescinded) after the Issue Date (including, without duplication, Restricted Payments permitted by clause (i) of Section 4.07(b) hereof, but excluding all other Restricted Payments permitted by Section 4.07(b) hereof), is less than the sum of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the greater of (x) $75,000,000 and (y) 15% of LTM EBITDA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50% of the Consolidated Net Income of Parent for the period (taken as one accounting period) beginning on the Issue Date to the end of Parent’s most recently ended fiscal quarter for which internal financial statements are available at the time of such Restricted Payment; provided that such amount shall not be less than zero;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amount of the aggregate net cash proceeds and the fair market value of marketable securities or other property received by Parent since immediately after the Issue Date (other than net cash proceeds to the extent such net cash proceeds have been used to incur Indebtedness or issue Disqualified Stock or Preferred Stock pursuant to Section 4.09(b)(xii)(A) hereof) from the issue or sale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Equity Interests of Parent, including Treasury Capital Stock, but excluding cash proceeds and the fair market value of marketable securities or other property received from the sale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Equity Interests to any future, present or former employees, directors, officers, managers or consultants (or their respective Controlled Investment Affiliates or Immediate Family Members) of Parent or any of Parent’s Subsidiaries after the Issue Date to the extent such amounts have been applied to Restricted Payments made in accordance with Section 4.07(b)(iv) 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Designated Preferred Stock;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debt securities of Parent that have been converted into or exchanged for such Equity Interests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this clause (2) shall not include the proceeds from (W) Refunding Capital Stock applied in accordance with Section 4.07(b)(ii) hereof, (X) Equity Interests or convertible debt securities of Parent sold to a Restricted Subsidiary, (Y) Disqualified Stock or debt securities that have been converted into Disqualified Stock or (Z) Excluded Contributions; 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100% of the aggregate amount of cash and the fair market value of marketable securities or other property contributed to the capital of Parent following the Issue Date (other than net cash proceeds to the extent such net cash proceeds have been used to incur Indebtedness or issue Disqualified Stock or Preferred Stock pursuant to Section 4.09(b)(xii)(A) hereof) (other than by a Restricted Subsidiary and other than any Excluded Contributions);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tab/>
        <w:t>     without duplication of amounts that increased the amount available for Restricted Payments pursuant to clause (vii) or (x) of Section 4.07(b) hereof or the amount available pursuant to clause (h) or (m) of the definition of “Permitted Investments,” 100% of the aggregate amount received in cash and the fair market value, as determined in good faith by the Issuer, of marketable securities or other property received by means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sale or other disposition (other than to Parent or a Restricted Subsidiary) of, or other returns on Investments from, Restricted Investments made by Parent or its Restricted Subsidiaries and repurchases and redemptions of such Restricted Investments from Parent or its Restricted Subsidiaries and repayments of loans or advances, and releases of guarantees, which constitute Restricted Investments made by Parent or its Restricted Subsidiaries, in each case after the Issue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sale (other than to Parent or a Restricted Subsidiary) of the stock of an Unrestricted Subsidiary or a dividend or distribution from an Unrestricted Subsidiary after the Issue Date;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without duplication of amounts that increased the amount available for Restricted Payments pursuant to clause (vii) or (x) of Section 4.07(b) hereof or the amount available pursuant to clause (h) or (m) of the definition of “Permitted Investments,” in the case of the redesignation of an Unrestricted Subsidiary as a Restricted Subsidiary or the merger or consolidation of an Unrestricted Subsidiary into Parent or a Restricted Subsidiary or the transfer of all or substantially all of the assets of an Unrestricted Subsidiary to Parent or a Restricted Subsidiary after the Issue Date, the fair market value of the Investment in such Unrestricted Subsidiary (or the assets transferred) at the time of the redesignation of such Unrestricted Subsidiary as a Restricted Subsidiary or at the time of such merger, consolidation or transfer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foregoing provisions of Section 4.07(a) hereof shall not prohibit: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payment of any dividend or other distribution or the consummation of any irrevocable redemption within 60 days after the date of declaration of the dividend or other distribution or giving of the redemption notice, as the case may be, if at the date of declaration or notice, the dividend or other distribution or redemption payment would have complied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the redemption, repurchase, retirement or other acquisition of any Equity Interests, including any accrued and unpaid dividends thereon (“</w:t>
      </w:r>
      <w:r>
        <w:rPr>
          <w:rFonts w:ascii="Times New Roman;Times;Serif" w:hAnsi="Times New Roman;Times;Serif"/>
          <w:b/>
          <w:i w:val="false"/>
          <w:caps w:val="false"/>
          <w:smallCaps w:val="false"/>
          <w:sz w:val="20"/>
        </w:rPr>
        <w:t>Treasury Capital Stock</w:t>
      </w:r>
      <w:r>
        <w:rPr>
          <w:rFonts w:ascii="Times New Roman;Times;Serif" w:hAnsi="Times New Roman;Times;Serif"/>
          <w:b w:val="false"/>
          <w:i w:val="false"/>
          <w:caps w:val="false"/>
          <w:smallCaps w:val="false"/>
          <w:sz w:val="20"/>
        </w:rPr>
        <w:t>”) or Subordinated Indebtedness of Parent or any Restricted Subsidiary, in exchange for, or out of the proceeds of the substantially concurrent sale or issuance (other than to a Restricted Subsidiary) of, Equity Interests of Parent (in each case, other than any Disqualified Stock) (“</w:t>
      </w:r>
      <w:r>
        <w:rPr>
          <w:rFonts w:ascii="Times New Roman;Times;Serif" w:hAnsi="Times New Roman;Times;Serif"/>
          <w:b/>
          <w:i w:val="false"/>
          <w:caps w:val="false"/>
          <w:smallCaps w:val="false"/>
          <w:sz w:val="20"/>
        </w:rPr>
        <w:t>Refunding Capital Stock</w:t>
      </w:r>
      <w:r>
        <w:rPr>
          <w:rFonts w:ascii="Times New Roman;Times;Serif" w:hAnsi="Times New Roman;Times;Serif"/>
          <w:b w:val="false"/>
          <w:i w:val="false"/>
          <w:caps w:val="false"/>
          <w:smallCaps w:val="false"/>
          <w:sz w:val="20"/>
        </w:rPr>
        <w:t>”), (B) the declaration and payment of dividends on Treasury Capital Stock out of the proceeds of the substantially concurrent sale or issuance (other than to a Subsidiary of Parent or to an employee stock ownership plan or any trust established by Parent or any of its Subsidiaries) of Refunding Capital Stock and (C) if, immediately prior to the retirement of Treasury Capital Stock, the declaration and payment of dividends thereon was permitted under Section 4.07(b)(vi)(A) hereof, the declaration and payment of dividends on the Refunding Capital Stock in an aggregate amount per year no greater than the aggregate amount of dividends per annum that were declarable and payable on such Treasury Capital Stock immediately prior to such retirement;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defeasance, redemption, repurchase, exchange or other acquisition or retirement (1) of Subordinated Indebtedness of the Issuer or a Guarantor made by exchange for, or out of the proceeds of the substantially concurrent sale of, new Indebtedness of the Issuer or a Guarantor or Disqualified Stock of the Issuer or a Guarantor or (2) Disqualified Stock of the Issuer or a Guarantor made by exchange for, or out of the proceeds of the substantially concurrent sale of, Disqualified Stock of the Issuer or a Guarantor, that, in each case, is incurred or issued, as applicable, in compliance with Section 4.09 hereof so long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principal amount (or accreted value, if applicable) of such new Indebtedness or the liquidation preference of such new Disqualified Stock does not exceed the principal amount of (or accreted value, if applicable), plus any accrued and unpaid interest on, the Subordinated Indebtedness or the liquidation preference of, plus any accrued and unpaid dividends on, the Disqualified Stock being so defeased, redeemed, repurchased, exchanged, acquired or retired for value, plus the amount of any premium (including tender premium) with respect to Subordinated Indebtedness or Disqualified Stock being so defeased, redeemed, repurchased, exchanged, acquired or retired, defeasance costs and any fees and expenses incurred in connection with the issuance of such new Indebtedness or Disqualified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new Indebtedness is subordinated to the Notes or the applicable Guarantee at least to the same extent as such Subordinated Indebtedness so defeased, redeemed, repurchased, exchanged, acquired or retired;</w:t>
      </w:r>
    </w:p>
    <w:p>
      <w:pPr>
        <w:pStyle w:val="TextBody"/>
        <w:bidi w:val="0"/>
        <w:spacing w:before="0" w:after="0"/>
        <w:ind w:left="0" w:right="0" w:firstLine="1152"/>
        <w:jc w:val="left"/>
        <w:rPr>
          <w:caps w:val="false"/>
          <w:smallCaps w:val="false"/>
        </w:rPr>
      </w:pPr>
      <w:r>
        <w:rPr>
          <w:caps w:val="false"/>
          <w:smallCaps w:val="false"/>
        </w:rPr>
        <w:t> </w:t>
      </w:r>
    </w:p>
    <w:p>
      <w:pPr>
        <w:pStyle w:val="TextBody"/>
        <w:bidi w:val="0"/>
        <w:spacing w:before="0" w:after="0"/>
        <w:ind w:left="1440"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new Indebtedness or Disqualified Stock has a final scheduled maturity date equal to or later than the final scheduled maturity date of the Subordinated Indebtedness or Disqualified Stock being so defeased, redeemed, repurchased, exchanged, acquired or retired (or, if earlier, the date that is 91 days after the maturity date of the Notes); and</w:t>
      </w:r>
    </w:p>
    <w:p>
      <w:pPr>
        <w:pStyle w:val="TextBody"/>
        <w:bidi w:val="0"/>
        <w:spacing w:before="0" w:after="0"/>
        <w:ind w:left="0" w:right="0" w:firstLine="1152"/>
        <w:jc w:val="left"/>
        <w:rPr>
          <w:caps w:val="false"/>
          <w:smallCaps w:val="false"/>
        </w:rPr>
      </w:pPr>
      <w:r>
        <w:rPr>
          <w:caps w:val="false"/>
          <w:smallCaps w:val="false"/>
        </w:rPr>
        <w:t> </w:t>
      </w:r>
    </w:p>
    <w:p>
      <w:pPr>
        <w:pStyle w:val="TextBody"/>
        <w:bidi w:val="0"/>
        <w:spacing w:before="0" w:after="0"/>
        <w:ind w:left="1440"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new Indebtedness or Disqualified Stock has a Weighted Average Life to Maturity equal to or greater than the remaining Weighted Average Life to Maturity of the Subordinated Indebtedness or Disqualified Stock being so defeased, redeemed, repurchased, exchanged, acquired or retired (or requires no or nominal payments in cash prior to the date that is 91 days after the maturity date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 Restricted Payment to pay for the repurchase, retirement or other acquisition or retirement for value of Equity Interests of Parent held by any future, present or former employee, director, officer, member of management or consultant (or their respective Controlled Investment Affiliates or Immediate Family Members) of Parent or any of its Subsidiaries pursuant to any management equity plan or stock option plan or any other management or employee benefit plan or agreement, or any stock subscription or shareholder agreement (including, for the avoidance of doubt, any principal and interest payable on any notes issued by Parent in connection with such repurchase, retirement or other acquisition);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amount of Restricted Payments made under this clause (iv) do not exceed in any calendar year the greater of $47.5 million and 10.0% of LTM EBITDA (with unused amounts in any calendar year being carried over to succeeding calendar years subject to a maximum (without giving effect to the following proviso) of the greater of $95.0 million and 20.0% of LTM EBITDA in any calendar year);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such amount in any calendar year under this clause may be increased by an amount not to exceed: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amount of cash proceeds from the sale of Equity Interests (other than Disqualified Stock) of Parent to any present or former employees, directors, officers, members of management or consultants (or their respective Controlled Investment Affiliates or Immediate Family Members) of Parent or any of its Subsidiaries that occurs after the Issue Date, to the extent the cash proceeds from the sale of such Equity Interests have not otherwise been applied to the payment of Restricted Payments by virtue of Section 4.07(a)(B) hereof; </w:t>
      </w:r>
      <w:r>
        <w:rPr>
          <w:rFonts w:ascii="Times New Roman;Times;Serif" w:hAnsi="Times New Roman;Times;Serif"/>
          <w:b w:val="false"/>
          <w:i/>
          <w:caps w:val="false"/>
          <w:smallCaps w:val="false"/>
          <w:sz w:val="20"/>
        </w:rPr>
        <w:t>plus</w:t>
      </w:r>
    </w:p>
    <w:p>
      <w:pPr>
        <w:pStyle w:val="TextBody"/>
        <w:bidi w:val="0"/>
        <w:spacing w:before="0" w:after="0"/>
        <w:ind w:left="0" w:right="0" w:firstLine="1152"/>
        <w:jc w:val="left"/>
        <w:rPr>
          <w:caps w:val="false"/>
          <w:smallCaps w:val="false"/>
        </w:rPr>
      </w:pPr>
      <w:r>
        <w:rPr>
          <w:caps w:val="false"/>
          <w:smallCaps w:val="false"/>
        </w:rPr>
        <w:t> </w:t>
      </w:r>
    </w:p>
    <w:p>
      <w:pPr>
        <w:pStyle w:val="TextBody"/>
        <w:bidi w:val="0"/>
        <w:spacing w:before="0" w:after="0"/>
        <w:ind w:left="1440"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amount of cash proceeds of key man life insurance policies received by Parent or its Restricted Subsidiaries after the Issue Date; </w:t>
      </w:r>
      <w:r>
        <w:rPr>
          <w:rFonts w:ascii="Times New Roman;Times;Serif" w:hAnsi="Times New Roman;Times;Serif"/>
          <w:b w:val="false"/>
          <w:i/>
          <w:caps w:val="false"/>
          <w:smallCaps w:val="false"/>
          <w:sz w:val="20"/>
        </w:rPr>
        <w:t>less</w:t>
      </w:r>
    </w:p>
    <w:p>
      <w:pPr>
        <w:pStyle w:val="TextBody"/>
        <w:bidi w:val="0"/>
        <w:spacing w:before="0" w:after="0"/>
        <w:ind w:left="0" w:right="0" w:firstLine="1152"/>
        <w:jc w:val="left"/>
        <w:rPr>
          <w:caps w:val="false"/>
          <w:smallCaps w:val="false"/>
        </w:rPr>
      </w:pPr>
      <w:r>
        <w:rPr>
          <w:caps w:val="false"/>
          <w:smallCaps w:val="false"/>
        </w:rPr>
        <w:t> </w:t>
      </w:r>
    </w:p>
    <w:p>
      <w:pPr>
        <w:pStyle w:val="TextBody"/>
        <w:bidi w:val="0"/>
        <w:spacing w:before="0" w:after="0"/>
        <w:ind w:left="1440" w:right="0" w:firstLine="115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amount of any Restricted Payments previously made with the cash proceeds described in clauses (A) and (B) of this clause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cancellation of Indebtedness owing to Parent from any future, present or former employees, directors, officers, members of management or consultants of Parent (or their respective Controlled Investment Affiliates or Immediate Family Members) or any of Parent’s Restricted Subsidiaries in connection with a repurchase of Equity Interests of Parent will not be deemed to constitute a Restricted Payment for purposes of this Section 4.07 or any other provision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declaration and payment of dividends to holders of any class or series of Disqualified Stock of Parent or any of its Restricted Subsidiaries or any class or series of Preferred Stock of any Restricted Subsidiary issued in accordance with Section 4.09 hereof to the extent such dividends are included in the definition of “Fixed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the declaration and payment of dividends to holders of any class or series of Designated Preferred Stock (other than Disqualified Stock) issued by Parent or any of its Restricted Subsidiaries after the Issue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declaration and payment of dividends on Refunding Capital Stock that is Preferred Stock in excess of the dividends declarable and payable thereon pursuant to Section 4.07(b)(ii)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in the case of each of (A) and (B) of this clause (vi), that for the most recently ended four full fiscal quarters for which internal financial statements are available immediately preceding the date of issuance of such Designated Preferred Stock or the declaration of such dividends on Refunding Capital Stock that is Preferred Stock but is not Designated Preferred Stock, after giving effect to such issuance or declaration on a pro forma basis, Parent and its Restricted Subsidiaries on a consolidated basis would have had a Fixed Charge Coverage Ratio of at least 2.00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Investments in joint ventures and Unrestricted Subsidiaries having an aggregate fair market value taken together with all other Investments made pursuant to this clause (vii) that are at the time outstanding without giving effect to the sale of a joint venture or an Unrestricted Subsidiary to the extent the proceeds of such sale do not consist of cash or marketable securities (until such proceeds are converted to Cash Equivalents), not to exceed the greater of (a) $120.0 million and (b) 25.0% of LTM EBITDA at the time of such Investment (with the fair market value of each Investment being measured at the time made and without giving effect to subsequent changes in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repurchases of Equity Interests deemed to occur upon exercise of stock options, warrants or similar rights by any future, present or former employee, director, officer, member of management or consultants (or their respective Controlled Investment Affiliates or Immediate Family Members) of Parent or any Restricted Subsidiary, if such Equity Interests represent a portion of the exercise price of such options, warrants or similar rights, or such repurchases are intended to fund any related withholding or similar tax obligations, and any payments by Parent or any Restricted Subsidiary to a taxing authority in respect of any withholding or similar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Restricted Payments that are made in an amount not to exceed the amount of Excluded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Restricted Payments in an aggregate amount taken together with all other Restricted Payments made pursuant to this clause (x) (in the case of Restricted Investments, at the time outstanding (without giving effect to the sale of an Investment to the extent the proceeds of such sale do not consist of, or have not been subsequently sold or transferred for, Cash Equivalents)) not to exceed the greater of (a) $167.5 million and (b) 35.0% of LTM EBITDA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distributions or payments of Securitization Fees, sales contributions and other transfers of Securitization Assets purchases of Securitization Assets, in each case in connection with a Qualified Securitization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the repurchase, redemption or other acquisition or retirement for value of any Subordinated Indebtedness or Disqualified Stock either (a) pursuant to the provisions similar to those in Section 4.10 and Section 4.14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the Issuer shall have been required to make a Change of Control Offer or Asset Sale Offer, as applicable, to purchase the Notes on the terms provided in this Indenture applicable to Change of Control Offers or Asset Sale Offers, respectively, all Notes validly tendered by Holders in connection with a Change of Control Offer or Asset Sale Offer, as applicable, have been repurchased, redeemed, acquired or retired for value or (b) consisting of Acquired Indebtedness (other than Indebtedness incurred (A) to provide all or any portion of the funds utilized to consummate the transaction or series of related transactions pursuant to which such Person became a Restricted Subsidiary or was otherwise acquired by Parent or a Restricted Subsidiary or (B) otherwise in connection with or contemplation of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mandatory redemptions of Disqualified Stock issued as a Restricted Payment or as consideration for a Permitted Investment pursuant to clause (h) or (m) of the definition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amount of such redemptions are no greater than the amount that constituted a Restricted Payment or Permitted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the distribution, by dividend or otherwise, of shares of Capital Stock of, or Indebtedness owed to Parent or a Restricted Subsidiary by, Unrestricted Subsidiaries (other than Unrestricted Subsidiaries, the primary assets of which are cash and/or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            any Restricted Payment if, as of the date of such Restricted Payment and immediately after giving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to such Restricted Payment pursuant to this clause (xv) and the incurrence of any Indebtedness the net proceeds of which are used to finance such Restricted Payment, the Consolidated Leverage Ratio shall not exceed 4.50 to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            payments by Parent to holders of Capital Stock of Parent in lieu of fractional shares of such Capital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such payment shall not be for the purpose of evading any limitation of this Section 4.07 or otherwise to facilitate any dividend of other return of capital to the holders of such Capital Stock (as determined in good faith by the board of directors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(a) the declaration and payment of dividends on the common stock or common equity interests of Parent (and any equivalent declaration and payment of a distribution of any security exchangeable for such common stock or common equity interests to the extent required by the terms of any such exchangeable securities) in an amount in any fiscal year not to exceed 7% of Market Capitalization; or (b) in lieu of all or a portion of the dividends permitted by clause (a), any prepayment, purchase, repurchase, redemption, defeasance, discharge, retirement or other acquisition of Parent’s Capital Stock (and any equivalent declaration and payment of a distribution of any security exchangeable for such common stock or common equity interests to the extent required by the terms of any such exchangeable securities) for aggregate consideration that, when taken together with dividends permitted by clause (a), does not exceed the amount contemplated by clause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Payments or distributions to dissenting stockholders pursuant to applicable law (including in connection with, or as a result of, exercise of dissenters’ or appraisal rights and the settlement of any claims or action (whether actual, contingent or potential)), pursuant to or in connection with a merger, amalgamation, consolidation or transfer of assets that complies with the covenant described in Section 5.01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distributions, by dividend or otherwise, or other transfer or disposition of shares of Capital Stock of, or equity interests in, an Unrestricted Subsidiary (or a Restricted Subsidiary that owns one or more Unrestricted Subsidiaries and no other material assets), or Indebtedness owed to Parent or a Restricted Subsidiary by an Unrestricted Subsidiary (or a Restricted Subsidiary that owns one or more Unrestricted Subsidiaries and no other material assets), in each case, other than Unrestricted Subsidiaries, substantially all the assets of which are Cash Equivalents or proceeds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Investments or other Restricted Payments in an aggregate amount not to exceed an amount equal to the sum of Total Leverage Excess Proceeds and Declined Excess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determining compliance with this Section 4.07, in the event that a Restricted Payment or Investment (or portion thereof) meets the criteria of more than one of the categories of payments permitted under the clauses of Section 4.07(b) hereof, or is permitted pursuant to Section 4.07(a) hereof and/or one or more of the clauses contained in the definition of “Permitted Investment”, the Issuer shall be entitled to divide or classify (or later divide, classify or reclassify in whole or in part in its sole discretion) such Restricted Payment or Investment (or portion thereof) in any manner that complies with this Section 4.07, including as an Investment pursuant to one or more of the clauses contained in the definition of “Permitted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amount of all Restricted Payments (other than cash) shall be the fair market value on the date of such Restricted Payment of the asset(s) or securities proposed to be paid, transferred or issued by Parent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the Issuer acting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connection with any commitment, definitive agreement or similar event relating to an Investment, Parent or the applicable Restricted Subsidiary may designate such Investment as having occurred on the date of the commitment, definitive agreement or similar event relating thereto (such date, the “</w:t>
      </w:r>
      <w:r>
        <w:rPr>
          <w:rFonts w:ascii="Times New Roman;Times;Serif" w:hAnsi="Times New Roman;Times;Serif"/>
          <w:b/>
          <w:i w:val="false"/>
          <w:caps w:val="false"/>
          <w:smallCaps w:val="false"/>
          <w:sz w:val="20"/>
        </w:rPr>
        <w:t>Election Date</w:t>
      </w:r>
      <w:r>
        <w:rPr>
          <w:rFonts w:ascii="Times New Roman;Times;Serif" w:hAnsi="Times New Roman;Times;Serif"/>
          <w:b w:val="false"/>
          <w:i w:val="false"/>
          <w:caps w:val="false"/>
          <w:smallCaps w:val="false"/>
          <w:sz w:val="20"/>
        </w:rPr>
        <w:t>”) if, after giving pro forma effect to such Investment and all related transactions in connection therewith and any related pro forma adjustments, Parent or any of its Restricted Subsidiaries would have been permitted to make such Investment on the relevant Election Date in compliance with this Indenture, and any related subsequent actual making of such Investment will be deemed for all purposes under this Indenture to have been made on such Election Date, including for purposes of calculating any ratio, compliance with any test, usage of any baskets hereunder (if applicable), Consolidated Net Income, EBITDA, LTM EBITDA and Total Assets and for purposes of determining whether there exists any Default or Event of Default (and all such calculations on and after the Election Date until the termination, expiration, passing, rescission, retraction or rescindment of such commitment, definitive agreement or similar event shall be made on a pro forma basis giving effect thereto and all related transactions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Parent or a Restricted Subsidiary makes a Restricted Payment which at the time of the making of such Restricted Payment would in the good faith determination of Parent be permitted under the provisions of this Indenture, such Restricted Payment shall be deemed to have been made in compliance with this Indenture notwithstanding any subsequent adjustments made in good faith to Parent’s financial statements affecting Consolidated Net Income, EBITDA, LTM EBITDA or Total Assets of Parent for any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As of the Issue Date, all of Parent’s Domestic Subsidiaries shall be Restricted Subsidiaries. Parent shall not permit any Unrestricted Subsidiary to become a Restricted Subsidiary except pursuant to the penultimate sentence of the definition of “Unrestricted Subsidiary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For purposes of designating any Restricted Subsidiary as an Unrestricted Subsidiary, all outstanding Investments by Parent and its Restricted Subsidiaries (except to the extent repaid) in the Subsidiary so designated shall be deemed to be Restricted Payments in an amount determined as set forth in the penultimate sentence of the definition of “Investments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Such designation shall be permitted only if a Restricted Payment in such amount would be permitted at such time, pursuant to this Section 4.07 or pursuant to the definition of “Permitted Investments,” and if such Subsidiary otherwise meets the definition of an Unrestricted Subsidiary. Unrestricted Subsidiaries shall not be subject to any of the restrictive covenants set forth in this Indenture. For the avoidance of doubt, this Section 4.07 shall not restrict the making of any “AHYDO catch up payment” with respect to, and required by the terms of, any Indebtedness of Parent or any of its Restricted Subsidiaries permitted to be incurred under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4.08.</w:t>
        <w:tab/>
        <w:t>     </w:t>
      </w:r>
      <w:r>
        <w:rPr>
          <w:rFonts w:ascii="Times New Roman;Times;Serif" w:hAnsi="Times New Roman;Times;Serif"/>
          <w:b w:val="false"/>
          <w:i/>
          <w:caps w:val="false"/>
          <w:smallCaps w:val="false"/>
          <w:sz w:val="20"/>
        </w:rPr>
        <w:t>Dividend and Other Payment Restrictions Affecting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not, and shall not permit any of its Restricted Subsidiaries that is not the Issuer or a Guarantor to, directly or indirectly, create or otherwise cause or suffer to exist or become effective any consensual encumbrance or consensual restriction on the ability of any such Restricted Subsidiary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pay dividends or make any other distributions to Parent or any of its Restricted Subsidiaries that is a Guarantor on its Capital Stock or with respect to any other interest or participation in, or measured by, its profits, or (B) pay any Indebtedness owed to Parent or any of its Restricted Subsidiaries that is a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make loans or advances to Parent or any of its Restricted Subsidiaries that is a Guarantor;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sell, lease or transfer any of its properties or assets to Parent or any of its Restricted Subsidiaries that is a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restrictions in Section 4.08(a) hereof shall not apply to encumbrances or restrictions existing under or by reason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contractual encumbrances or restrictions in effect on the Issue Date, including pursuant to the 2031 Notes Indenture, any Credit Facility, including the Senior Secured Credit Facilities and the related documentation and Hedging Obligations and the related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this Indenture, the Notes and the guarantees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purchase money obligations for property acquired in the ordinary course of business or consistent with past practice and capital lease obligations that impose restrictions of the nature discussed in Section 4.08(a)(iii) hereof on the property so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applicable law or any applicable rule, regulation or order;</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agreement or other instrument of a Person acquired by or merged or consolidated with or into Parent or any of its Restricted Subsidiaries in existence at the time of such acquisition or at the time it merges with or into Parent or any of its Restricted Subsidiaries or assumed in connection with the acquisition of assets from such Person (but, in any such case, not created in contemplation thereof), which encumbrance or restriction is not applicable to any Person, or the properties or assets of any Person, other than the Person so acquired and its Subsidiaries, or the property or assets of the Person so acquired and its Subsidiaries or the property or assets so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contracts for the sale of assets or Equity Interests, including customary restrictions with respect to a Subsidiary of Parent pursuant to an agreement that has been entered into for the sale or disposition of all or substantially all of the Capital Stock or assets of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Secured Indebtedness otherwise permitted to be incurred pursuant to Section 4.09 and Section 4.12 hereof that limits the right of the debtor to dispose of, transfer or encumber the assets securing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restrictions on cash or other deposits or net worth imposed by customers under contracts entered into in the ordinary course of business or arising in connection with any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other Indebtedness, Disqualified Stock or Preferred Stock of Restricted Subsidiaries that are not the Issuer or Guarantors permitted to be incurred subsequent to the Issue Date pursuant to the provisions of Section 4.09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customary provisions in joint venture agreements and other similar agreements relating solely to such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customary provisions contained in leases, sub-leases, licenses, sub-licenses or similar agreements, including with respect to intellectual property and other agreements, in each case, entered into in the ordinary course of business, and customary provisions restricting dispositions of real property interests set forth in any reciprocal easement agreements of Parent or any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restrictions or conditions contained in any trading, netting, operating, construction, service, supply, purchase, sale or other agreement to which Parent or any of its Restricted Subsidiaries is a party entered into in the ordinary course of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agreement prohibits the encumbrance of solely the property or assets of Parent or such Restricted Subsidiary that are the subject to such agreement, the payment rights arising thereunder or the proceeds thereof and does not extend to any other asset or property of Parent or such Restricted Subsidiary or the assets or property of another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customary provisions restricting subletting or assignment of any lease governing a leasehold interest of any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customary provisions restricting assignment of any agreement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restrictions arising in connection with cash or other deposits, or other encumbrances or restrictions, permitted under Section 4.12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any agreement or instrument (A) relating to any Indebtedness, Disqualified Stock or Preferred Stock permitted to be incurred or issued subsequent to the Issue Date pursuant to Section 4.09 hereof if the encumbrances and restrictions are not materially more disadvantageous, taken as a whole, to the Holders than is customary in comparable financings for similarly situated issuers (as determined in good faith by Parent) or is otherwise in effect on the Issue Date and (B) either (x) Parent determines that such encumbrance or restriction will not adversely affect the Issuer’s ability to make principal and interest payments on the Notes as and when they come due or (y) such encumbrances and restrictions apply only during the continuance of a default in respect of a payment or financial maintenance covenant relating to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restrictions created in connection with any Qualified Securitization Facility that in the good faith determination of Parent are necessary or advisable to effect such Qualified Securitization Facility;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(xviii)      any encumbrances or restrictions of the type referred to in clauses (i), (ii) and (iii) of Section 4.08(a) hereof imposed by any amendments, modifications, restatements, renewals, increases, supplements, refundings, replacements or refinancings of the contracts, instruments or obligations referred to in clauses (i) through (xvii) of this Section 4.08(b);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amendments, modifications, restatements, renewals, increases, supplements, refundings, replacements or refinancings are, in the good faith judgment of Parent, not materially more restrictive with respect to such encumbrance and other restrictions taken as a whole than those prior to such amendment, modification, restatement, renewal, increase, supplement, refunding, replacement or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4.09.</w:t>
        <w:tab/>
        <w:t>     </w:t>
      </w:r>
      <w:r>
        <w:rPr>
          <w:rFonts w:ascii="Times New Roman;Times;Serif" w:hAnsi="Times New Roman;Times;Serif"/>
          <w:b w:val="false"/>
          <w:i/>
          <w:caps w:val="false"/>
          <w:smallCaps w:val="false"/>
          <w:sz w:val="20"/>
        </w:rPr>
        <w:t>Limitation on Incurrence of Indebtedness and Issuance of Disqualified Stock and 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not, and shall not permit any of its Restricted Subsidiaries to, directly or indirectly, create, incur, issue, assume, guarantee or otherwise become directly or indirectly liable, contingently or otherwise (collectively, “</w:t>
      </w:r>
      <w:r>
        <w:rPr>
          <w:rFonts w:ascii="Times New Roman;Times;Serif" w:hAnsi="Times New Roman;Times;Serif"/>
          <w:b/>
          <w:i w:val="false"/>
          <w:caps w:val="false"/>
          <w:smallCaps w:val="false"/>
          <w:sz w:val="20"/>
        </w:rPr>
        <w:t>incur</w:t>
      </w:r>
      <w:r>
        <w:rPr>
          <w:rFonts w:ascii="Times New Roman;Times;Serif" w:hAnsi="Times New Roman;Times;Serif"/>
          <w:b w:val="false"/>
          <w:i w:val="false"/>
          <w:caps w:val="false"/>
          <w:smallCaps w:val="false"/>
          <w:sz w:val="20"/>
        </w:rPr>
        <w:t>” and collectively, an “</w:t>
      </w:r>
      <w:r>
        <w:rPr>
          <w:rFonts w:ascii="Times New Roman;Times;Serif" w:hAnsi="Times New Roman;Times;Serif"/>
          <w:b/>
          <w:i w:val="false"/>
          <w:caps w:val="false"/>
          <w:smallCaps w:val="false"/>
          <w:sz w:val="20"/>
        </w:rPr>
        <w:t>incurrence</w:t>
      </w:r>
      <w:r>
        <w:rPr>
          <w:rFonts w:ascii="Times New Roman;Times;Serif" w:hAnsi="Times New Roman;Times;Serif"/>
          <w:b w:val="false"/>
          <w:i w:val="false"/>
          <w:caps w:val="false"/>
          <w:smallCaps w:val="false"/>
          <w:sz w:val="20"/>
        </w:rPr>
        <w:t xml:space="preserve">”) with respect to any Indebtedness (including Acquired Indebtedness) and Parent shall not issue any shares of Disqualified Stock and shall not permit any Restricted Subsidiary to issue any shares of Disqualified Stock or Preferred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may incur Indebtedness (including Acquired Indebtedness) or issue shares of Disqualified Stock, and any Restricted Subsidiary may incur Indebtedness (including Acquired Indebtedness), issue shares of Disqualified Stock and issue shares of Preferred Stock, if either (x) the Fixed Charge Coverage Ratio of Parent and its Restricted Subsidiaries for the most recently ended four fiscal quarters for which internal financial statements are available immediately preceding the date on which such additional Indebtedness is incurred or such Disqualified Stock or Preferred Stock is issued would have been at least 2.00 to 1.00 or (y) the Consolidated Leverage Ratio of Parent and its Restricted Subsidiaries for the most recently ended four fiscal quarters for which internal financial statements are available immediately preceding the date on which such additional Indebtedness is incurred or such Disqualified Stock or Preferred Stock is issued would not have exceeded 6.00 to 1.00, in each case determined on a pro forma basis (including a pro forma application of the net proceeds therefrom), as if the additional Indebtedness had been incurred, or the Disqualified Stock or Preferred Stock had been issued, as the case may be, and the application of proceeds therefrom had occurred at the beginning of such four-quarter period;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then outstanding aggregate principal amount of Indebtedness (including Acquired Indebtedness), Disqualified Stock and Preferred Stock that may be incurred or issued, as applicable, pursuant to the foregoing by Restricted Subsidiaries that are not the Issuer or Guarantors shall not exceed the greater of (i) $167.5 million and (ii) 35.0% of LTM EBITDA (in each case, determined on the date of such incurrence).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Section 4.09(a) hereof shall not apply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Indebtedness incurred pursuant to any Credit Facilities by Parent or any Restricted Subsidiary and the issuance and creation of letters of credit and bankers’ acceptances thereunder (with letters of credit and bankers’ acceptances being deemed to have a principal amount equal to the face amount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immediately after giving effect to any such incurrence or issuance, the then-outstanding aggregate principal amount of all Indebtedness incurred or issued under this clause (i) and any Refinancing Indebtedness in respect thereof does not exceed the sum of (a) $1,140.0 million plus (b) the greater of (A) $475.0 million and (B) 100.0% of LTM EBITDA (in each case, determined on the date of such incurrence) plus (c) the greater of (A) $340.0 million and (B) the Borrowing Base plus (d) an additional amount so long as after giving pro forma effect to the incurrence of such additional amount and the application of the proceeds therefrom, the Consolidated Secured Debt Ratio would be no greater than the greater of (x) 5.00 to 1.00 and (y) if such Indebtedness is used to fund an Investment not prohibited by this Indenture, the Consolidated Secured Debt Ratio as of such date prior to giving effect to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incurrence by the Issuer and any Guarantor of Indebtedness represented by the Notes (including any guarantee thereof) (other than any 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Indebtedness of Parent and its Subsidiaries in existence on the Issue Date (other than Indebtedness described in clauses (i) and (ii) of this Section 4.09(b)), including the 2031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Indebtedness (including Capitalized Lease Obligations), Disqualified Stock incurred or issued by Parent or any Restricted Subsidiary and Preferred Stock incurred or issued by Parent or any Restricted Subsidiary, to finance the purchase, lease or improvement of property (real or personal), equipment or other assets used or useful in a Similar Business, whether through the direct purchase of assets or the Capital Stock of any Person owning such assets in an aggregate principal amount not to exceed the greater of (a) $142.5 million and (b) 30.0% of LTM EBITDA (in each case, determined at the date of incurrence or issuance) and any Refinancing Indebtedness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Indebtedness incurred by Parent or any of its Restricted Subsidiaries constituting reimbursement obligations with respect to letters of credit, bank guarantees, banker’s acceptances, warehouse receipts, or similar instruments issued or created in the ordinary course of business, including letters of credit in respect of workers’ compensation claims, health, disability or other employee benefits or property, casualty or liability insurance or self-insurance or other Indebtedness with respect to reimbursement type obligations regarding workers’ compensation claims, health, disability or other employee benefits or property, casualty or liability insurance or self-insurance;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upon the drawing of such letters of credit or the incurrence of such Indebtedness, such obligations are reimbursed within 30 Business Days following such drawing or incurrence;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Indebtedness arising from agreements of Parent or its Restricted Subsidiaries providing for indemnification, adjustment of purchase price, earnouts, guarantees or similar obligations, in each case, incurred or assumed in connection with the acquisition or disposition of any business, assets or a Subsidiary, other than guarantees of Indebtedness incurred by any Person acquiring all or any portion of such business, assets or Subsidiary for the purpose of financing such acquisition;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the case of any disposition, the maximum assumable liability in respect of all such Indebtedness shall at no time exceed the gross proceeds actually received by Parent and its Restricted Subsidiaries in connection with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Indebtedness of Parent to a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Indebtedness owing to a Restricted Subsidiary that is not a Guarantor is expressly subordinated in right of payment to the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any subsequent issuance or transfer of any Capital Stock or any other event which results in any such Restricted Subsidiary ceasing to be a Restricted Subsidiary or any other subsequent transfer of any such Indebtedness (except to Parent or another Restricted Subsidiary or any pledge of such Indebtedness constituting a Permitted Lien) shall be deemed, in each case, to be an incurrence of such Indebtedness (to the extent such Indebtedness is then outstanding) not permitted by this clause (vii);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Indebtedness of a Restricted Subsidiary to Parent or another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Issuer or a Guarantor incurs such Indebtedness to a Restricted Subsidiary that is not the Issuer or a Guarantor, such Indebtedness is expressly subordinated in right of payment to the obligations of the Issuer in respect of the Notes or the Guarantee of the Notes of such Guarantor,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any subsequent issuance or transfer of any Capital Stock or any other event which results in any such Restricted Subsidiary ceasing to be a Restricted Subsidiary or any subsequent transfer of any such Indebtedness (except to Parent or another Restricted Subsidiary or any pledge of such Indebtedness constituting a Permitted Lien) shall be deemed, in each case, to be an incurrence of such Indebtedness (to the extent such Indebtedness is then outstanding) not permitted by this clause (viii);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shares of Preferred Stock of a Restricted Subsidiary issued to Parent or another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subsequent issuance or transfer of any Capital Stock or any other event which results in any such Restricted Subsidiary ceasing to be a Restricted Subsidiary or any other subsequent transfer of any such shares of Preferred Stock (except to Parent or another of its Restricted Subsidiaries or any pledge of such Capital Stock constituting a Permitted Lien) shall be deemed in each case to be an issuance of such shares of Preferred Stock (to the extent such Preferred Stock is then outstanding) not permitted by this clause (ix);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Hedging Obligations (excluding Hedging Obligations entered into for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obligations in respect of self-insurance and obligations in respect of performance, bid, appeal and surety bonds and performance and completion guarantees and similar obligations provided by Parent or any of its Restricted Subsidiaries or obligations in respect of letters of credit, bank guarantees or similar instruments related thereto, in each case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  Indebtedness or Disqualified Stock of Parent and Indebtedness, Disqualified Stock or Preferred Stock of any Restricted Subsidiary in an aggregate principal amount or liquidation preference up to 100% of the amount of the net cash proceeds received by Parent since immediately after the Issue Date from the issue or sale of Equity Interests of Parent or cash contributed to the capital of Parent and any Refinancing Indebtedness in respect thereof (in each case, other than proceeds of Disqualified Stock or sales of Equity Interests to Parent or any of its Subsidiaries) as determined in accordance with clauses (B)(2) and (B)(3) of Section 4.07(a) hereof to the extent such net cash proceeds or cash have not been applied pursuant to such clauses to make Restricted Payments pursuant to Section 4.07(b) hereof or to make Permitted Investments (other than Permitted Investments specified in clauses (a), (b) or (c) of the definition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Indebtedness, Disqualified Stock or Preferred Stock of Parent or any Restricted Subsidiary in an aggregate principal amount or liquidation preference, which when aggregated with the principal amount and liquidation preference of all other Indebtedness, Disqualified Stock and Preferred Stock then outstanding and incurred pursuant to this clause (xii)(B), does not exceed the greater of (x) $237.5 million and (y) 50.0% of LTM EBITDA (in each case, determined on the date of such incurrence);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incurrence or issuance by Parent or any Restricted Subsidiary of Indebtedness, Disqualified Stock or Preferred Stock which serves to extend, replace, refund, refinance, renew or defease any Indebtedness, Disqualified Stock or Preferred Stock incurred or issued as permitted under Section 4.09(a) hereof and clauses (i), (ii), (iii), (iv), (x) and (xii)(A) of this Section 4.09(b), this clause (xiii) and clause (xiv) of this Section 4.09(b) or any Indebtedness, Disqualified Stock or Preferred Stock incurred or issued to so extend, replace, refund, refinance, renew or defease such Indebtedness, Disqualified Stock or Preferred Stock including additional Indebtedness, Disqualified Stock or Preferred Stock incurred to pay premiums (including tender premiums), defeasance costs, accrued interest, underwriting discounts, fees and expenses (including, without limitation, original issue discount, upfront fees or similar fees) in connection therewith (the “</w:t>
      </w:r>
      <w:r>
        <w:rPr>
          <w:rFonts w:ascii="Times New Roman;Times;Serif" w:hAnsi="Times New Roman;Times;Serif"/>
          <w:b/>
          <w:i w:val="false"/>
          <w:caps w:val="false"/>
          <w:smallCaps w:val="false"/>
          <w:sz w:val="20"/>
        </w:rPr>
        <w:t>Refinancing Indebtedness</w:t>
      </w:r>
      <w:r>
        <w:rPr>
          <w:rFonts w:ascii="Times New Roman;Times;Serif" w:hAnsi="Times New Roman;Times;Serif"/>
          <w:b w:val="false"/>
          <w:i w:val="false"/>
          <w:caps w:val="false"/>
          <w:smallCaps w:val="false"/>
          <w:sz w:val="20"/>
        </w:rPr>
        <w:t xml:space="preserve">”) prior to its respective maturity;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Refinancing Indebtedness has a Weighted Average Life to Maturity at the time such Refinancing Indebtedness is incurred which is not less than the remaining Weighted Average Life to Maturity of the Indebtedness, Disqualified Stock or Preferred Stock being extended, replaced, refunded, refinanced, renewed or defeased (or requires no or nominal payments in cash prior to the date that is 91 days after the maturity date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such Refinancing Indebtedness extends, replaces, refunds, refinances, renews or defeases (i) Indebtedness subordinated in right of payment to the Notes or any Guarantee thereof, such Refinancing Indebtedness is subordinated in right of payment to the Notes or the Guarantee thereof at least to the same extent as the Indebtedness being extended, replaced, refunded, refinanced, renewed or defeased or (ii) Disqualified Stock or Preferred Stock, such Refinancing Indebtedness must be Disqualified Stock or Preferred Stock,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Refinancing Indebtedness is incurred in an aggregate principal amount (or if issued with original issue discount, an aggregate issue price) that is equal to or less than the sum of (x) the aggregate principal amount (or if issued with original issue discount, the aggregate accreted value) then outstanding of the Indebtedness being Refinanced, plus (y) an amount equal to any unutilized commitment relating to the Indebtedness being refinanced or otherwise then outstanding under a Credit Facility or other financing arrangement being refinanced to the extent the unutilized commitment being refinanced could be drawn in compliance with this Section 4.09 immediately prior to such refinancing, plus (z) accrued and unpaid interest, dividends, premiums (including tender premiums), defeasance costs, underwriting discounts, fees, costs and expenses (including original issue discount, upfront fees or similar fees) in connection with such refinancing;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Refinancing Indebtedness shall not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Indebtedness, Disqualified Stock or Preferred Stock of a Subsidiary of Parent that is not the Issuer or a Guarantor that refinances Indebtedness, Disqualified Stock or Preferred Stock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Indebtedness, Disqualified Stock or Preferred Stock of a Subsidiary of Parent that is not the Issuer or a Guarantor that refinances Indebtedness, Disqualified Stock or Preferred Stock of a Guarantor;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Indebtedness or Disqualified Stock of Parent or Indebtedness, Disqualified Stock or Preferred Stock of a Restricted Subsidiary that refinances Indebtedness, Disqualified Stock or Preferred Stock of an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subclause (A) of this clause (xiii) will not apply to any extension, replacement, refunding, refinancing, renewal or defeasance of any Secured Indebtedness or Credit Facilities. Refinancing Indebtedness in respect of any Credit Facility or any other Indebtedness may be incurred from time to time after the termination, discharge or repayment of any such Credit Facility or other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(A) Indebtedness, Disqualified Stock or Preferred Stock of Parent or a Restricted Subsidiary incurred or issued to fund an Investment not prohibited by this Indenture or (B) Indebtedness, Disqualified Stock or Preferred Stock of Persons that are acquired by Parent or any Restricted Subsidiary or merged into or consolidated with Parent or a Restricted Subsidiary in accordance with the terms of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the case of clauses (A) and (B), after giving effect to such acquisition, merger or consolidation, such Indebtedness is in an aggregate amount not to exceed (i) the greater of $120.0 million and 25.0% of LTM EBITDA at the time of incurrence and any Refinancing Indebtedness in respect thereof, plus (ii) unlimited additional Indebtedness if after giving pro forma effect to such acquisition, merger or consolidation, either (w) Parent would be permitted to incur at least $1.00 of additional Indebtedness pursuant to the test set forth in Section 4.09(a)(x) or 4.09(a)(y) (the “</w:t>
      </w:r>
      <w:r>
        <w:rPr>
          <w:rFonts w:ascii="Times New Roman;Times;Serif" w:hAnsi="Times New Roman;Times;Serif"/>
          <w:b/>
          <w:i w:val="false"/>
          <w:caps w:val="false"/>
          <w:smallCaps w:val="false"/>
          <w:sz w:val="20"/>
        </w:rPr>
        <w:t>Ratio Debt Test</w:t>
      </w:r>
      <w:r>
        <w:rPr>
          <w:rFonts w:ascii="Times New Roman;Times;Serif" w:hAnsi="Times New Roman;Times;Serif"/>
          <w:b w:val="false"/>
          <w:i w:val="false"/>
          <w:caps w:val="false"/>
          <w:smallCaps w:val="false"/>
          <w:sz w:val="20"/>
        </w:rPr>
        <w:t xml:space="preserve">”), (x) the Fixed Charge Coverage Ratio for Parent and its Restricted Subsidiaries is equal to or greater than immediately prior to such acquisition, merger or consolidation; (y) the Consolidated Leverage Ratio for Parent and its Restricted Subsidiaries is equal to or less than immediately prior to such acquisition, merger or consolidation; or (z) it constitutes Acquired Indebtedness (other than, in the case of this clause (z), Indebtedness Incurred in contemplation of the transaction or series of related transactions pursuant to which such Person became a Restricted Subsidiary or was otherwise acquired by Parent or a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the case of this clause (z), the only obligors with respect to such Indebtedness shall be those Persons who were obligors of such Indebtedness prior to such acquisition,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            Indebtedness arising from the honoring by a bank or other financial institution of a check, draft or similar instrument drawn against insufficient funds in the ordinary course of business,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Indebtedness is extinguished within five Business Days of its incurrence;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Indebtedness of Parent or any of its Restricted Subsidiaries supported by a letter of credit issued pursuant to the Credit Facilities, in a principal amount not in excess of the stated amount of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(A)  any guarantee by Parent or a Restricted Subsidiary of Indebtedness or other obligations of any Restricted Subsidiary so long as the incurrence of such Indebtedness incurred by such Restricted Subsidiary is permitted under the terms of this Indenture,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guarantee by a Restricted Subsidiary of Indebtedness of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guarantee is incurred in accordance with Section 4.15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Indebtedness consisting of Indebtedness issued by Parent or any of its Restricted Subsidiaries to future, present or former employees, directors, officers, managers and consultants thereof, their respective Controlled Investment Affiliates or Immediate Family Members, in each case to finance the purchase or redemption of Equity Interests of Parent or any direct or indirect parent company of Parent to the extent permitted by Section 4.07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to the extent constituting Indebtedness, customer deposits and advance payments (including progress premiums) received in the ordinary course of business from customers for goods purchased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(A) Indebtedness owed on a short-term basis of no longer than 30 days to banks and other financial institutions incurred in the ordinary course of business of Parent and its Restricted Subsidiaries with such banks or financial institutions that arises in connection with ordinary banking arrangements to manage cash balances of Parent and its Restricted Subsidiaries and (B) Indebtedness in respect of Bank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Indebtedness of Parent or any of its Restricted Subsidiaries consisting of (A) the financing of insurance premiums or (B) take-or-pay obligations contained in supply arrangements, in each case incurred in the ordinary course of business or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the incurrence of Indebtedness of Restricted Subsidiaries of Parent that are not the Issuer or Guarantors in an amount outstanding under this clause (xxiii) not to exceed together with any other Indebtedness incurred under this clause (xxiii) the greater of (A) $150.0 million and (B) 30.0% of LTM EBITDA (in each case, determined on the date of such incurrence); it being understood that any Indebtedness deemed incurred pursuant to this clause (xxiii) shall cease to be deemed incurred or outstanding for purposes of this clause (xxiii) but shall be deemed incurred for the purposes of Section 4.09(a) hereof from and after the first date on which such Restricted Subsidiaries could have incurred such Indebtedness under Section 4.09(a) hereof without reliance on this clause (xxiii);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Indebtedness of Parent or any of its Restricted Subsidiaries undertaken in connection with cash management and related activities with respect to any Subsidiary or joint venture in the ordinary course of business;</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Indebtedness in respect of any Qualified Securitization Facility;</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any obligation, or guaranty of any obligation, of Parent or any Restricted Subsidiary to reimburse or indemnify a Person extending credit to customers of Parent or a Restricted Subsidiary incurred in the ordinary course of business or consistent with past practice of Parent and its Restricted Subsidiaries for all or any portion of the amounts payable by such customers to the Person extending such credit;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          Indebtedness incurred by Parent or any of its Restricted Subsidiaries to the extent that the net proceeds thereof are promptly deposited with the Trustee to satisfy or discharge the Notes or exercise the Issuer’s legal defeasance or covenant defeasance, in each case, in accordance with this Indenture; and</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Indebtedness in an aggregate outstanding principal amount which, when taken together with the principal amount of all other Indebtedness incurred pursuant to this clause and then outstanding, will not exceed the Available RP Capacity Amount (determined on the date of such incurrence).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determining compliance with, and the outstanding principal amount of any particular Indebtedness incurred pursuant to and in compliance with, this Section 4.09: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the event that an item of Indebtedness, Disqualified Stock or Preferred Stock (or any portion thereof) meets the criteria of more than one of the categories of permitted Indebtedness, Disqualified Stock or Preferred Stock described in the clauses of Section 4.09(b) hereof or is entitled to be incurred pursuant to Section 4.09(a) hereof, Parent, in its sole discretion, shall classify or reclassify such item of Indebtedness, Disqualified Stock or Preferred Stock (or any portion thereof) and shall only be required to include the amount and type of such Indebtedness, Disqualified Stock or Preferred Stock in one of the above clauses or under Section 4.09(a)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all Indebtedness outstanding under the Senior Secured Credit Facilities on the Issue Date (and any refinancing thereof with Secured Indebtedness) shall at all times be treated as incurred and outstanding under Section 4.09(b)(i)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Parent shall be entitled to divide and classify an item of Indebtedness in more than one of the types of Indebtedness described in Section 4.09(a) and Section 4.09(b)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the proviso to clause (i) above, the Issuer shall be entitled to later reclassify such item of Indebtedness, Disqualified Stock or Preferred Stock in any manner that complies with this Section 4.09 at the time of such reclassification (it being understood that, subject to the proviso to clause (i) above, any Indebtedness, Disqualified Stock or Preferred Stock incurred pursuant to one of the clauses of the second paragraph of this covenant shall cease to be deemed incurred or outstanding for purposes of such clause but shall be deemed incurred for the purposes of the first paragraph of this covenant from and after the first date on which Parent or its Restricted Subsidiaries could have incurred such Indebtedness under the first paragraph of this covenant without reliance on such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principal amount of any Disqualified Stock of Parent or a Restricted Subsidiary, or Preferred Stock of a Restricted Subsidiary, will be equal to the greater of the maximum mandatory redemption or repurchase price (not including, in either case, any redemption or repurchase premium) or the liquidation preference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event that Parent or a Restricted Subsidiary enters into or increases commitments with respect to any Indebtedness, for all purposes under this Indenture, including for purposes of calculating the Fixed Charge Coverage Ratio, the Consolidated Leverage Ratio and the Consolidated Secured Debt Ratio, as applicable, for borrowings and reborrowings thereunder (and including issuance and creation of letters of credit and bankers’ acceptances thereunder), at Parent’s option as elected on the date Parent or a Restricted Subsidiary, as the case may be, enters into or increases such commitments, Parent may elect to treat all or any portion of the committed amount of such Indebtedness as being incurred either (a) on the date of entry into such facility or such increase in commitments (assuming that the full amount thereof has been borrowed as of such date), and, if each applicable Fixed Charge Coverage Ratio, Consolidated Leverage Ratio, Consolidated Secured Debt Ratio test or other provision of this Indenture, as applicable, is complied with (or satisfied) with respect thereto at such time, any borrowing or reborrowing thereunder (and the issuance and creation of letters of credit and bankers’ acceptances thereunder) will be permitted under this covenant irrespective of the Fixed Charge Coverage Ratio, Consolidated Leverage Ratio, Consolidated Secured Debt Ratio or other provision of this Indenture, as applicable, at the time of any borrowing or reborrowing (or issuance or creation of letters of credit or bankers’ acceptances thereunder) (the committed amount permitted to be borrowed or reborrowed (and the issuance and creation of letters of credit and bankers’ acceptances) on a date pursuant to the operation of this clause (a) shall be the “</w:t>
      </w:r>
      <w:r>
        <w:rPr>
          <w:rFonts w:ascii="Times New Roman;Times;Serif" w:hAnsi="Times New Roman;Times;Serif"/>
          <w:b/>
          <w:i w:val="false"/>
          <w:caps w:val="false"/>
          <w:smallCaps w:val="false"/>
          <w:sz w:val="20"/>
        </w:rPr>
        <w:t>Reserved Indebtedness Amount</w:t>
      </w:r>
      <w:r>
        <w:rPr>
          <w:rFonts w:ascii="Times New Roman;Times;Serif" w:hAnsi="Times New Roman;Times;Serif"/>
          <w:b w:val="false"/>
          <w:i w:val="false"/>
          <w:caps w:val="false"/>
          <w:smallCaps w:val="false"/>
          <w:sz w:val="20"/>
        </w:rPr>
        <w:t>” as of such date for purposes of the Fixed Charge Coverage Ratio, Consolidated Leverage Ratio, Consolidated Secured Debt Ratio or other provision of this Indenture as applicable) or (b) be determined on the date such amount is borrowed pursuant to any such facility or increased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in the event that Parent or a Restricted Subsidiary (x) incurs Indebtedness to finance an acquisition or (y) assumes Indebtedness of Persons that are acquired by Parent or any Restricted Subsidiary or merged into Parent or a Restricted Subsidiary in accordance with the terms of this Indenture, at the option of Parent, the date of determination of compliance with any provision of this Indenture, including the Fixed Charge Coverage Ratio, the Consolidated Leverage Ratio and the Consolidated Secured Debt Ratio, as applicable, shall, at the option of Parent, be the date that a definitive agreement for such acquisition is entered into and the Fixed Charge Coverage Ratio, the Consolidated Leverage Ratio and the Consolidated Secured Debt Ratio, and other baskets and ratios under this Indenture, shall be calculated giving pro forma effect to such acquisition and the other transactions to be entered into in connection therewith (including any incurrence of Indebtedness and the use of proceeds thereof) consistent with the definition of the Fixed Charge Coverage Ratio, the Consolidated Leverage Ratio and the Consolidated Secured Debt Ratio, and other baskets and ratios under this Indenture, as applicable, and, for the avoidance of doubt, (A) if any such baskets or ratios are exceeded as a result of fluctuations in such basket or ratio (including due to fluctuations in the EBITDA of Parent or the target company) at or prior to the consummation of the relevant acquisition, such baskets and ratios will not be deemed to have been exceeded as a result of such fluctuations solely for purposes of determining whether such acquisition and any related transactions are permitted hereunder and (B) such baskets and ratios shall not be tested at the time of consummation of such acquisition or related transactions;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if Parent elects to have such determinations occur at the time of entry into such definitive agreement, (i) any such transaction shall be deemed to have occurred on the date the definitive agreement is entered into and to be outstanding thereafter for purposes of calculating any ratios under this Indenture after the date of such agreement and before the earlier of the date of consummation of such acquisition or the date such agreement is terminated or expires without consummation of such acquisition, (ii) to the extent any covenant baskets were utilized in satisfying any covenants, such baskets shall be deemed utilized until the earlier of the date of consummation of such acquisition or the date such agreement is terminated or expires without consummation of such acquisition, but any calculation of EBITDA for purposes of other incurrences of Indebtedness or Liens or making of Restricted Payments (not related to such acquisition) shall not reflect such acquisition until it has been consummated and (iii) Consolidated Interest Expense for purposes of the Fixed Charge Coverage Ratio will be calculated using an assumed interest rate as reasonably determined by Parent;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notwithstanding anything in this Section 4.09 to the contrary, in the case of any Indebtedness incurred to refinance Indebtedness initially incurred in reliance on Section 4.09(b) (measured by reference to a percentage of LTM EBITDA at the time of incurrence, if such refinancing would cause the percentage of LTM EBITDA restriction to be exceeded if calculated based on the percentage of LTM EBITDA on the date of such refinancing, such percentage of LTM EBITDA restriction shall not be deemed to be exceeded so long as the principal amount of such refinancing Indebtedness does not exceed the principal amount of such Indebtedness being refinanced, plus premiums (including tender premiums), defeasance, costs and fees in connection with such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 of interest or dividends, the accretion of accreted value, the accretion or amortization of original issue discount and the payment of interest or dividends in the form of additional Indebtedness, Disqualified Stock or Preferred Stock, as the case may be, of the same class, or the reclassification of commitments or obligations not treated as Indebtedness due to a change in GAAP shall not be deemed to be an incurrence of Indebtedness, Disqualified Stock or Preferred Stock for purposes of this Section 4.09.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any U.S. dollar-denominated restriction on the incurrence of Indebtedness, the U.S.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(A) the principal amount of such Indebtedness being refinanced plus (B) the aggregate amount of fees, underwriting discounts, premiums (including tender premiums) and other costs and expenses (including original issue discount, upfront fees or similar fees) incurred in connection with such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Parent shall not, and shall not permit the Issuer or any other Guarantor to, directly or indirectly, incur any Indebtedness (including Acquired Indebtedness) that is contractually subordinated or junior in right of payment to any Indebtedness of Parent, the Issuer or such Guarantor, as the case may be, unless such Indebtedness is expressly subordinated in right of payment to the Notes or Parent’s or such Guarantor’s Guarantee to the extent and in the same manner as such Indebtedness is subordinated to other Indebtedness of Parent, the Issuer or such Guarantor,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not treat (1) unsecured Indebtedness as subordinated or junior to Secured Indebtedness merely because it is unsecured or (2) Indebtedness as subordinated or junior to any other Indebtedness merely because it has a junior priority with respect to the same collateral or is secured by different collateral or because it is guaranteed by other obligors.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4.10.</w:t>
        <w:tab/>
        <w:t>     </w:t>
      </w:r>
      <w:r>
        <w:rPr>
          <w:rFonts w:ascii="Times New Roman;Times;Serif" w:hAnsi="Times New Roman;Times;Serif"/>
          <w:b w:val="false"/>
          <w:i/>
          <w:caps w:val="false"/>
          <w:smallCaps w:val="false"/>
          <w:sz w:val="20"/>
        </w:rPr>
        <w:t>Asset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not, and shall not permit any of its Restricted Subsidiaries to, consummate an Asset Sale,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Parent and its Restricted Subsidiaries receive consideration (including by way of relief from, or by any other Person assuming responsibility for, any liabilities, contingent or otherwise) at the time of such Asset Sale at least equal to the fair market value (such fair market value to be determined on the date of contractually agreeing to such Asset Sale), as determined in good faith by the Issuer, of the assets sold or otherwise disposed 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except in the case of a Permitted Asset Swap, at least 75% of the consideration therefor received by Parent or such Restricted Subsidiary, as the case may be, is in the form of Cash Equivalents;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amount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12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liabilities (as shown on Parent’s most recent consolidated balance sheet or in the footnotes thereto) of Parent or such Restricted Subsidiary, other than liabilities that are by their terms subordinated to the Notes, that are assumed by the transferee of any such assets and for which Parent and all of its Restricted Subsidiaries have been validly released by all applicable creditors in writing;</w:t>
      </w:r>
    </w:p>
    <w:p>
      <w:pPr>
        <w:pStyle w:val="TextBody"/>
        <w:bidi w:val="0"/>
        <w:spacing w:before="0" w:after="0"/>
        <w:ind w:left="0" w:right="0" w:firstLine="1123"/>
        <w:jc w:val="left"/>
        <w:rPr>
          <w:caps w:val="false"/>
          <w:smallCaps w:val="false"/>
        </w:rPr>
      </w:pPr>
      <w:r>
        <w:rPr>
          <w:caps w:val="false"/>
          <w:smallCaps w:val="false"/>
        </w:rPr>
        <w:t> </w:t>
      </w:r>
    </w:p>
    <w:p>
      <w:pPr>
        <w:pStyle w:val="TextBody"/>
        <w:bidi w:val="0"/>
        <w:spacing w:before="0" w:after="0"/>
        <w:ind w:left="1440" w:right="0" w:firstLine="112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securities, notes or other obligations or assets received by Parent or such Restricted Subsidiary from such transferee that are converted by Parent or such Restricted Subsidiary into Cash Equivalents (to the extent of the Cash Equivalents received) within 180 days following the closing of such Asset Sale;</w:t>
      </w:r>
    </w:p>
    <w:p>
      <w:pPr>
        <w:pStyle w:val="TextBody"/>
        <w:bidi w:val="0"/>
        <w:spacing w:before="0" w:after="0"/>
        <w:ind w:left="0" w:right="0" w:firstLine="1123"/>
        <w:jc w:val="left"/>
        <w:rPr>
          <w:caps w:val="false"/>
          <w:smallCaps w:val="false"/>
        </w:rPr>
      </w:pPr>
      <w:r>
        <w:rPr>
          <w:caps w:val="false"/>
          <w:smallCaps w:val="false"/>
        </w:rPr>
        <w:t> </w:t>
      </w:r>
    </w:p>
    <w:p>
      <w:pPr>
        <w:pStyle w:val="TextBody"/>
        <w:bidi w:val="0"/>
        <w:spacing w:before="0" w:after="0"/>
        <w:ind w:left="1440" w:right="0" w:firstLine="112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Indebtedness of any Restricted Subsidiary that is no longer a Restricted Subsidiary as a result of such Asset Sale, to the extent that Parent and each other Restricted Subsidiary are released from any guarantee of payment of such Indebtedness in connection with such Asset Sale;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12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Designated Non-cash Consideration received by Parent or such Restricted Subsidiary in such Asset Sale having an aggregate fair market value, taken together with all other Designated Non-cash Consideration received pursuant to this clause (D) that is at that time outstanding, not to exceed the greater of (x) $95.0 million and (y) 20.0% of LTM EBITDA at the time of the receipt of such Designated Non-cash Consideration, with the fair market value of each item of Designated Non-cash Consideration being measured at the time received and without giving effect to subsequent changes in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deemed to be Cash Equivalents for purposes of this provision and for no other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540 days after the receipt of any Net Proceeds of any Asset Sale by Parent, Issuer or a Guarantor, Parent, Issuer or such Guarantor, at its option, may apply an amount equal to the Applicable Percentage of such Net Proceeds (the “</w:t>
      </w:r>
      <w:r>
        <w:rPr>
          <w:rFonts w:ascii="Times New Roman;Times;Serif" w:hAnsi="Times New Roman;Times;Serif"/>
          <w:b/>
          <w:i w:val="false"/>
          <w:caps w:val="false"/>
          <w:smallCaps w:val="false"/>
          <w:sz w:val="20"/>
        </w:rPr>
        <w:t>Applicable Proceeds</w:t>
      </w:r>
      <w:r>
        <w:rPr>
          <w:rFonts w:ascii="Times New Roman;Times;Serif" w:hAnsi="Times New Roman;Times;Serif"/>
          <w:b w:val="false"/>
          <w:i w:val="false"/>
          <w:caps w:val="false"/>
          <w:smallCaps w:val="false"/>
          <w:sz w:val="20"/>
        </w:rPr>
        <w:t>”) from such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repay and reduce: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12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Obligations under the Senior Secured Credit Facilities, and to correspondingly reduce commitments with respect thereto;</w:t>
      </w:r>
    </w:p>
    <w:p>
      <w:pPr>
        <w:pStyle w:val="TextBody"/>
        <w:bidi w:val="0"/>
        <w:spacing w:before="0" w:after="0"/>
        <w:ind w:left="0" w:right="0" w:firstLine="1123"/>
        <w:jc w:val="left"/>
        <w:rPr>
          <w:caps w:val="false"/>
          <w:smallCaps w:val="false"/>
        </w:rPr>
      </w:pPr>
      <w:r>
        <w:rPr>
          <w:caps w:val="false"/>
          <w:smallCaps w:val="false"/>
        </w:rPr>
        <w:t> </w:t>
      </w:r>
    </w:p>
    <w:p>
      <w:pPr>
        <w:pStyle w:val="TextBody"/>
        <w:bidi w:val="0"/>
        <w:spacing w:before="0" w:after="0"/>
        <w:ind w:left="1440" w:right="0" w:firstLine="112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Obligations under Secured Indebtedness, which is secured by a Lien that is permitted by this Indenture, and to correspondingly reduce commitments with respect thereto;</w:t>
      </w:r>
    </w:p>
    <w:p>
      <w:pPr>
        <w:pStyle w:val="TextBody"/>
        <w:bidi w:val="0"/>
        <w:spacing w:before="0" w:after="0"/>
        <w:ind w:left="0" w:right="0" w:firstLine="1123"/>
        <w:jc w:val="left"/>
        <w:rPr>
          <w:caps w:val="false"/>
          <w:smallCaps w:val="false"/>
        </w:rPr>
      </w:pPr>
      <w:r>
        <w:rPr>
          <w:caps w:val="false"/>
          <w:smallCaps w:val="false"/>
        </w:rPr>
        <w:t> </w:t>
      </w:r>
    </w:p>
    <w:p>
      <w:pPr>
        <w:pStyle w:val="TextBody"/>
        <w:bidi w:val="0"/>
        <w:spacing w:before="0" w:after="0"/>
        <w:ind w:left="1440" w:right="0" w:firstLine="112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Obligations under other Senior Indebtedness (and to correspondingly reduce commitments with respect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Issuer shall equally and ratably reduce Obligations under the Notes as provided under Section 3.07 hereof or through open-market purchases or by making an offer (in accordance with the procedures set forth in Section 3.09 and Section 4.10(c) hereof) to all Holders to purchase their Notes at 100% of the principal amount thereof, plus the amount of accrued but unpaid interest, if any, on the amount of Notes to be repurchased, to, but excluding, the date of repurchase; or</w:t>
      </w:r>
    </w:p>
    <w:p>
      <w:pPr>
        <w:pStyle w:val="TextBody"/>
        <w:bidi w:val="0"/>
        <w:spacing w:before="0" w:after="0"/>
        <w:ind w:left="0" w:right="0" w:firstLine="1123"/>
        <w:jc w:val="left"/>
        <w:rPr>
          <w:caps w:val="false"/>
          <w:smallCaps w:val="false"/>
        </w:rPr>
      </w:pPr>
      <w:r>
        <w:rPr>
          <w:caps w:val="false"/>
          <w:smallCaps w:val="false"/>
        </w:rPr>
        <w:t> </w:t>
      </w:r>
    </w:p>
    <w:p>
      <w:pPr>
        <w:pStyle w:val="TextBody"/>
        <w:bidi w:val="0"/>
        <w:spacing w:before="0" w:after="0"/>
        <w:ind w:left="1440" w:right="0" w:firstLine="112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Indebtedness of a Restricted Subsidiary that is not a Guarantor, other than Indebtedness owed to Parent or another Restricted Subsidiary;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make (A) an Investment in any one or more businesses, (B) capital expenditures or (C) acquisitions of other assets, in the case of each of (A), (B) and (C), used or useful in a Similar Business;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make an Investment in (A) any one or more businesses,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Investment in any business is in the form of the acquisition of Capital Stock or capital contributions, (B) properties or (C) acquisitions of other assets that, in the case of each of (A), (B) and (C), replace the businesses, properties and/or assets that are the subject of such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the case of clauses (ii) and (iii) above, a binding commitment shall be treated as a permitted application of the amount equal to the Applicable Proceeds from the date of such commitment so long as Parent, Issuer or such Guarantor enters into such commitment with the good faith expectation that such amount equal to the Applicable Proceeds will be applied to satisfy such commitment within 180 days of such commitment (an “</w:t>
      </w:r>
      <w:r>
        <w:rPr>
          <w:rFonts w:ascii="Times New Roman;Times;Serif" w:hAnsi="Times New Roman;Times;Serif"/>
          <w:b/>
          <w:i w:val="false"/>
          <w:caps w:val="false"/>
          <w:smallCaps w:val="false"/>
          <w:sz w:val="20"/>
        </w:rPr>
        <w:t>Acceptable Commitment</w:t>
      </w:r>
      <w:r>
        <w:rPr>
          <w:rFonts w:ascii="Times New Roman;Times;Serif" w:hAnsi="Times New Roman;Times;Serif"/>
          <w:b w:val="false"/>
          <w:i w:val="false"/>
          <w:caps w:val="false"/>
          <w:smallCaps w:val="false"/>
          <w:sz w:val="20"/>
        </w:rPr>
        <w:t>”) and, in the event any Acceptable Commitment is later cancelled or terminated for any reason before the Applicable Proceeds are applied in connection therewith, the Parent, the Issuer or such Guarantor enters into another Acceptable Commitment (a “</w:t>
      </w:r>
      <w:r>
        <w:rPr>
          <w:rFonts w:ascii="Times New Roman;Times;Serif" w:hAnsi="Times New Roman;Times;Serif"/>
          <w:b/>
          <w:i w:val="false"/>
          <w:caps w:val="false"/>
          <w:smallCaps w:val="false"/>
          <w:sz w:val="20"/>
        </w:rPr>
        <w:t>Second Commitment</w:t>
      </w:r>
      <w:r>
        <w:rPr>
          <w:rFonts w:ascii="Times New Roman;Times;Serif" w:hAnsi="Times New Roman;Times;Serif"/>
          <w:b w:val="false"/>
          <w:i w:val="false"/>
          <w:caps w:val="false"/>
          <w:smallCaps w:val="false"/>
          <w:sz w:val="20"/>
        </w:rPr>
        <w:t xml:space="preserve">”) within 180 days of such cancellation or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if any Second Commitment is later cancelled or terminated for any reason before such amount equal to the Applicable Proceeds is applied, then such amount equal to the Applicable Proceeds shall constitute Excess Proceeds;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combination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with respect to any Asset Sale, at the expiration of the time period set forth in Section 4.10(b), there remains Applicable Proceeds in excess of the greater of $95.0 million and 20.0% of LTM EBITDA (such amount of Applicable Proceeds that are equal to the greater of $95.0 million and 20.0% of LTM EBITDA, “</w:t>
      </w:r>
      <w:r>
        <w:rPr>
          <w:rFonts w:ascii="Times New Roman;Times;Serif" w:hAnsi="Times New Roman;Times;Serif"/>
          <w:b/>
          <w:i w:val="false"/>
          <w:caps w:val="false"/>
          <w:smallCaps w:val="false"/>
          <w:sz w:val="20"/>
        </w:rPr>
        <w:t>Declined Excess Proceeds</w:t>
      </w:r>
      <w:r>
        <w:rPr>
          <w:rFonts w:ascii="Times New Roman;Times;Serif" w:hAnsi="Times New Roman;Times;Serif"/>
          <w:b w:val="false"/>
          <w:i w:val="false"/>
          <w:caps w:val="false"/>
          <w:smallCaps w:val="false"/>
          <w:sz w:val="20"/>
        </w:rPr>
        <w:t>,” and such amount of Applicable Proceeds that are in excess of the greater of $95.0 million and 20.0% of LTM EBITDA, “</w:t>
      </w:r>
      <w:r>
        <w:rPr>
          <w:rFonts w:ascii="Times New Roman;Times;Serif" w:hAnsi="Times New Roman;Times;Serif"/>
          <w:b/>
          <w:i w:val="false"/>
          <w:caps w:val="false"/>
          <w:smallCaps w:val="false"/>
          <w:sz w:val="20"/>
        </w:rPr>
        <w:t>Excess Proceeds</w:t>
      </w:r>
      <w:r>
        <w:rPr>
          <w:rFonts w:ascii="Times New Roman;Times;Serif" w:hAnsi="Times New Roman;Times;Serif"/>
          <w:b w:val="false"/>
          <w:i w:val="false"/>
          <w:caps w:val="false"/>
          <w:smallCaps w:val="false"/>
          <w:sz w:val="20"/>
        </w:rPr>
        <w:t xml:space="preserve">”), then subject to the limitations with respect to Foreign Dispositions set forth below, the Issuer shall make an offer to all Holders of the Notes and, if required by the terms of any Indebtedness that is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Notes (“</w:t>
      </w:r>
      <w:r>
        <w:rPr>
          <w:rFonts w:ascii="Times New Roman;Times;Serif" w:hAnsi="Times New Roman;Times;Serif"/>
          <w:b/>
          <w:i w:val="false"/>
          <w:caps w:val="false"/>
          <w:smallCaps w:val="false"/>
          <w:sz w:val="20"/>
        </w:rPr>
        <w:t>Pari Passu Indebtedness</w:t>
      </w:r>
      <w:r>
        <w:rPr>
          <w:rFonts w:ascii="Times New Roman;Times;Serif" w:hAnsi="Times New Roman;Times;Serif"/>
          <w:b w:val="false"/>
          <w:i w:val="false"/>
          <w:caps w:val="false"/>
          <w:smallCaps w:val="false"/>
          <w:sz w:val="20"/>
        </w:rPr>
        <w:t>”), to the holders of such Pari Passu Indebtedness (an “</w:t>
      </w:r>
      <w:r>
        <w:rPr>
          <w:rFonts w:ascii="Times New Roman;Times;Serif" w:hAnsi="Times New Roman;Times;Serif"/>
          <w:b/>
          <w:i w:val="false"/>
          <w:caps w:val="false"/>
          <w:smallCaps w:val="false"/>
          <w:sz w:val="20"/>
        </w:rPr>
        <w:t>Asset Sale Offer</w:t>
      </w:r>
      <w:r>
        <w:rPr>
          <w:rFonts w:ascii="Times New Roman;Times;Serif" w:hAnsi="Times New Roman;Times;Serif"/>
          <w:b w:val="false"/>
          <w:i w:val="false"/>
          <w:caps w:val="false"/>
          <w:smallCaps w:val="false"/>
          <w:sz w:val="20"/>
        </w:rPr>
        <w:t>”), to purchase the maximum aggregate principal amount of the Notes and such Pari Passu Indebtedness that is in an amount, in the case of the Notes, equal to at least $2,000, or an integral multiple of $1,000 in excess thereof, that may be purchased out of the Excess Proceeds at an offer price in cash, in the case of the Notes, in an amount equal to 100.0% of the principal amount thereof (or accreted value thereof, if less), plus accrued and unpaid interest, if any, to, but excluding, the date fixed for the closing of such offer, in accordance with the procedures set forth in this Indenture. The Issuer will commence an Asset Sale Offer with respect to Excess Proceeds within ten Business Days after the date that Excess Proceeds exceeds the greater of $95.0 million and 20.0% of LTM EBITDA (the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by delivering the notice required pursuant to the terms of this Indenture, with a copy to the Trustee. The Issuer may satisfy the foregoing obligations with respect to any Net Proceeds from an Asset Sale by the Parent, the Issuer or a Guarantor by making an Asset Sale Offer with respect to such Net Proceeds prior to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aggregate amount of Notes and such Pari Passu Indebtedness tendered pursuant to an Asset Sale Offer is less than the Excess Proceeds, Parent and its Restricted Subsidiaries may include any remaining Excess Proceeds in Declined Excess Proceeds, and use such Declined Excess Proceeds for any purpose not prohibited by this Indenture. If the aggregate principal amount of Notes and Pari Passu Indebtedness surrendered by such holders thereof exceeds the amount of Excess Proceeds, the Trustee shall select the Notes and the Issuer shall select such Pari Passu Indebtedness to be purchased on a pro rata basis based on the accreted value or principal amount of the Notes or such Pari Passu Indebtedness tendered with adjustments as necessary so that no Notes or Pari Passu Indebtedness will be repurchased in part in an unauthorized denomination. Upon completion of any such Asset Sale Offer, the amount of Applicable Proceeds and Excess Proceeds shall be reset to zero (regardless of whether there are any remaining Excess Proceeds upon such completion).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Pending the final application of an amount equal to the Net Proceeds pursuant to this Section 4.10, the holder of such Net Proceeds may apply such amount of Net Proceeds temporarily to reduce Indebtedness outstanding under a revolving credit facility, including under the Senior Secured Credit Facilities, or otherwise invest such amount of Net Proceeds in any manner not prohibited by this Indenture. The Parent, the Issuer or any Guarantor, as the case may be, may elect to apply an amount equal to the Net Proceeds under clauses (ii) or (iii) above prior to receiving the Net Proceeds attributable to any given Asset Sale;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investment shall be made no earlier than the earliest of notice to the Trustee of the relevant Asset Sale, execution of a definitive agreement for the relevant Asset Sale and consummation of the relevant Asset Sale, and deem the amount so invested to be applied pursuant to and in accordance with clause (ii) or (iii) above with respect to such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that any portion of the Net Proceeds or Applicable Percentage payable in respect of the Notes is denominated in a currency other than U.S. Dollars, the amount thereof payable in respect of the Notes shall not exceed the net amount of funds in U.S. Dollars that is actually received by Parent upon converting such portion into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 other provisions of this Section 4.10, (i) to the extent that any of or all the Net Proceeds or Applicable Percentage of any Asset Sale are received or deemed to be received by a Foreign Subsidiary (a “</w:t>
      </w:r>
      <w:r>
        <w:rPr>
          <w:rFonts w:ascii="Times New Roman;Times;Serif" w:hAnsi="Times New Roman;Times;Serif"/>
          <w:b/>
          <w:i w:val="false"/>
          <w:caps w:val="false"/>
          <w:smallCaps w:val="false"/>
          <w:sz w:val="20"/>
        </w:rPr>
        <w:t>Foreign Disposition</w:t>
      </w:r>
      <w:r>
        <w:rPr>
          <w:rFonts w:ascii="Times New Roman;Times;Serif" w:hAnsi="Times New Roman;Times;Serif"/>
          <w:b w:val="false"/>
          <w:i w:val="false"/>
          <w:caps w:val="false"/>
          <w:smallCaps w:val="false"/>
          <w:sz w:val="20"/>
        </w:rPr>
        <w:t>”) is (x) prohibited or delayed by applicable local law, (y) restricted by applicable organizational documents or any agreement or (z) subject to other onerous organizational or administrative impediments, in each case, from being repatriated to the United States, the portion of such Net Proceeds so affected will not be required to be applied in compliance with this Section 4.10, and such amounts may be retained by the applicable Foreign Subsidiary, so long, but only so long, as the applicable local law, documents or agreements will not permit repatriation to the United States (Parent hereby agreeing to use reasonable efforts (as determined in Parent’s reasonable business judgment) to otherwise cause the applicable Foreign Subsidiary to within one year following the date on which the respective payment would otherwise have been required, promptly take all actions reasonably required by the applicable local law, applicable organizational impediments or other impediment to permit such repatriation), and if within one year following the date on which the respective payment would otherwise have been required, such repatriation of any of such affected Net Proceeds is permitted under the applicable local law, applicable organizational impediment or other impediment, an amount equal to such Net Proceeds that may be repatriated absent such impediment will be promptly (and in any event not later than five (5) Business Days after such repatriation could be made) applied (net of additional taxes that would be payable or reserved against as a result of repatriating such amount) (whether or not repatriation actually occurs) in compliance with this Section 4.10 and (ii) to the extent that Parent has determined in good faith that repatriation of any of or all the Net Proceeds of any Foreign Disposition would have an adverse tax consequence (which for the avoidance of doubt, includes, but is not limited to, any repatriation whereby doing so Parent, any Restricted Subsidiary or any of their respective Affiliates and/or equity owners would incur a tax liability, including a taxable dividend, deemed dividend pursuant to Section 956 of the Internal Revenue Code of 1986, as amended, or a withholding tax), in an amount equal to the Net Proceeds so affected will not be required to be applied in compliance with this Section 4.10. The non-application of any prepayment amounts as a consequence of the foregoing provisions will not, for the avoidance of doubt, constitute a Default or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4.10 may be waived or modified with the written consent of the Holders of a majority in principal amount of the Notes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4.11.</w:t>
        <w:tab/>
        <w:t>     </w:t>
      </w:r>
      <w:r>
        <w:rPr>
          <w:rFonts w:ascii="Times New Roman;Times;Serif" w:hAnsi="Times New Roman;Times;Serif"/>
          <w:b w:val="false"/>
          <w:i/>
          <w:caps w:val="false"/>
          <w:smallCaps w:val="false"/>
          <w:sz w:val="20"/>
        </w:rPr>
        <w:t>Transactions with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not, and shall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any Affiliate of Parent (each of the foregoing, an “</w:t>
      </w:r>
      <w:r>
        <w:rPr>
          <w:rFonts w:ascii="Times New Roman;Times;Serif" w:hAnsi="Times New Roman;Times;Serif"/>
          <w:b/>
          <w:i w:val="false"/>
          <w:caps w:val="false"/>
          <w:smallCaps w:val="false"/>
          <w:sz w:val="20"/>
        </w:rPr>
        <w:t>Affiliate Transaction</w:t>
      </w:r>
      <w:r>
        <w:rPr>
          <w:rFonts w:ascii="Times New Roman;Times;Serif" w:hAnsi="Times New Roman;Times;Serif"/>
          <w:b w:val="false"/>
          <w:i w:val="false"/>
          <w:caps w:val="false"/>
          <w:smallCaps w:val="false"/>
          <w:sz w:val="20"/>
        </w:rPr>
        <w:t>”) involving aggregate payments or consideration in excess of $15.0 million,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Affiliate Transaction is on terms, taken as a whole, that are not materially less favorable to Parent or its relevant Restricted Subsidiary, as the case may be, than those that would have been obtained in a comparable transaction by Parent or such Restricted Subsidiary with an unrelated Person on an arm’s-length basis;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 respect to any Affiliate Transaction or series of related Affiliate Transactions involving aggregate payments or consideration in excess of $32.5 million, a majority of the board of directors of Parent has approved such Affiliate Transaction;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Affiliate Transaction shall be deemed to have satisfied the requirements set forth in this clause (ii) if such Affiliate Transaction is approved by a majority of the Disinterested Directors of Parent,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foregoing provisions of Section 4.11(a) hereof shall not apply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transactions between or among Parent or any of its Restricted Subsidiaries (or entity that becomes a Restricted Subsidiary as a result of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Restricted Payments permitted by Section 4.07 hereof and the definition of “Permitted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payment of fees and compensation paid to, and indemnities (including under customary insurance policies) and reimbursements and employment and severance arrangements, and employee and benefit pension expenses, provided on behalf of or for the benefit of future, current or former employees, directors, officers, managers, contractors, consultants, distributors or advisors of Parent or any of its Restricted Subsidiaries (whether directly or indirectly through any Controlled Investment Affiliate of such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transactions in which Parent or any of its Restricted Subsidiaries, as the case may be, delivers to the Trustee a letter from an Independent Financial Advisor stating that such transaction is fair to Parent or such Restricted Subsidiary from a financial point of view or stating that the terms are not materially less favorable to Parent or its relevant Restricted Subsidiary than those that would have been obtained in a comparable transaction by Parent or such Restricted Subsidiary with an unrelated Person on an arm’s-length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agreement as in effect as of the Issue Date, or any amendment thereto (so long as any such amendment is not disadvantageous in any material respect in the good faith judgment of the board of directors of Parent to the Holders when taken as a whole as compared to the applicable agreement as in effect on the Issue Date), including the entry into and performance of obligations under the terms of such agreement any payments pursuant to or for purposes of funding such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Transactions and the payment of all fees and expenses related to the Transactions, including Transaction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transactions with customers, clients, suppliers, contractors, joint venture partners or purchasers or sellers of goods or services that are Affiliates, in each case in the ordinary course of business or consistent with past practice and otherwise in compliance with the terms of this Indenture which are fair to Parent and its Restricted Subsidiaries, in the reasonable determination of the board of directors of Parent or the senior management thereof, or are on terms, taken as a whole, that are not materially less favorable as might reasonably have been obtained at such time from an unaffiliated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issuance of Equity Interests (other than Disqualified Stock) of Parent and the granting of registration and other customary rights in connection therewith or any contribution to capital of Parent or any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customary transaction with a Securitization Subsidiary effected as part of a Qualified Securitization Facility, including sales of accounts receivable, or participations therein, or Securitization Assets or related assets, or any repurchases thereof, in connection with any Qualified Securitization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payments and Indebtedness and Disqualified Stock (and cancellation of any thereof) of Parent and its Restricted Subsidiaries and Preferred Stock (and cancellation of any thereof) of any Restricted Subsidiary to any future, current or former employee, director, officer, manager or consultant (or their respective Controlled Investment Affiliates or Immediate Family Members) of Parent or any of its Subsidiaries pursuant to any management equity plan or stock option plan or any other management or employee benefit plan or agreement or any stock subscription or shareholder agreement that are, in each case, approved by Parent in good faith; and any employment agreements, stock option plans and other compensatory arrangements (and any successor plans thereto) and any supplemental executive retirement benefit plans or arrangements with any such employees, directors, officers, managers or consultants (or their respective Controlled Investment Affiliates or Immediate Family Members) that are, in each case, approved by Parent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payments to or from, and transactions with, any joint venture in the ordinary course of business (including, without limitation, any cash management activities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lease entered into between Parent or any Restricted Subsidiary, as lessee and any Affiliate of Parent, as lessor, which is approved by a majority of the Disinterested Directors of the board of directors of Parent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intellectual property licenses in the ordinary course of business or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the payment of reasonable out-of-pocket costs and expenses relating to registration rights and indemnities provided to stockholders of Parent thereof pursuant to any stockholders agreement or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issuance or sale of Equity Interests or other securities, or other payments, awards or grants in cash, securities or otherwise pursuant to, or the funding of, or entering into, or maintenance of, any employment, consulting, collective bargaining or benefit plan, program, agreement or arrangement, related trust or other similar agreement and other compensation arrangements, options, warrants or other rights to purchase Equity Interests of Parent or any Restricted Subsidiary, restricted stock plans, long- term incentive plans, stock appreciation rights plans, participation plans or similar employee benefits or consultants’ plans (including valuation, health, insurance, deferred compensation, severance, retirement, savings or similar plans, programs or arrangements) or indemnities provided on behalf of officers, employees, directors or consultants approved by the board of directors of Parent, in each case in the ordinary course of business or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any Management Advances and any waiver or transaction with respect thereto;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        (a) any purchases by Parent’s Affiliates of Indebtedness or Disqualified Stock of Parent or any of the Restricted Subsidiaries the majority of which Indebtedness or Disqualified Stock is purchased by Persons who are not Parent’s Affiliates;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purchases by Parent’s Affiliates are on the same terms as such purchases by such Persons who are not Parent’s Affiliates and (b)(i) investments by Affiliates in securities or loans of Parent or any of the Restricted Subsidiaries (and payment of reasonable out-of-pocket expenses incurred by such Affiliates in connection therewith) so long as the investment is being offered by Parent or such Restricted Subsidiary generally to other non-affiliated third party investors on the same or more favorable terms and such Affiliates participate in such offering with respect to the amount of securities on no greater than a pro rata basis based on the amount of the investment offered by such Affiliate to the amount of investment offered by such other non-affiliated third parties and (ii) payments to Affiliates in respect of securities or loans of Parent or any of the Restricted Subsidiaries contemplated in the foregoing subclause (i) or that were acquired from Persons other than Parent and the Restricted Subsidiaries, in each case, in accordance with the terms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4.12.         </w:t>
      </w:r>
      <w:r>
        <w:rPr>
          <w:rFonts w:ascii="Times New Roman;Times;Serif" w:hAnsi="Times New Roman;Times;Serif"/>
          <w:b w:val="false"/>
          <w:i/>
          <w:caps w:val="false"/>
          <w:smallCaps w:val="false"/>
          <w:sz w:val="20"/>
        </w:rPr>
        <w:t>Liens</w:t>
      </w:r>
      <w:r>
        <w:rPr>
          <w:rFonts w:ascii="Times New Roman;Times;Serif" w:hAnsi="Times New Roman;Times;Serif"/>
          <w:b w:val="false"/>
          <w:i w:val="false"/>
          <w:caps w:val="false"/>
          <w:smallCaps w:val="false"/>
          <w:sz w:val="20"/>
        </w:rPr>
        <w:t>. Parent shall not, and shall not permit the Issuer or any other Guarantor to, directly or indirectly, create, incur, assume or permit to exist any Lien (except Permitted Liens) that secures any Indebtedness or any related guarantee of Indebtedness, on any asset or property of Parent, the Issuer or any Guarantor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Liens securing Subordinated Indebtedness, the Notes and related Guarantees are secured by a Lien on such property, assets or proceeds that is senior in priority to such Liens;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all other cases, the Notes or the Guarantees are equally and ratably 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that the foregoing shall not apply to or restrict (A) Liens securing obligations in respect of the Notes and the related Guarantees, (B) Liens securing obligations in respect of (x) Indebtedness and other Obligations permitted to be incurred under Credit Facilities, including any letter of credit facility relating thereto, that was permitted by the terms of this Indenture to be incurred pursuant to Section 4.09(b)(i) hereof and (y) obligations of Parent or any Subsidiary in respect of any Bank Products provided by any lender party to any Credit Facilities or any Affiliate of such lender (or any Person that was a lender or an Affiliate of a lender at the time the applicable agreements pursuant to which such Bank Products are provided were entered into) and (C) Liens securing obligations in respect of Indebtedness permitted to be incurred under Section 4.09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Liens securing Indebtedness permitted under this subclause (C), at the time of incurrence and after giving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effect thereto and to the application of the net proceeds thereof, the Consolidated Secured Debt Ratio would be no greater than the greater of (i) 5.00 to 1.00 and (ii) if such Indebtedness is used to fund a an Investment not prohibited by this Indenture, the Consolidated Secured Debt Ratio as of such date prior to giving effect to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a Permitted Lien meets the criteria of more than one of the types of Permitted Liens (at the time of incurrence or at a later date), Parent in its sole discretion may divide, classify or from time to time reclassify all or any portion of such Permitted Lien in any manner that complies with this Section 4.12 and such Permitted Lien shall be treated as having been made pursuant only to the clause or clauses of the definition of Permitted Lien to which such Permitted Lien has been classified or reclassified;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all Liens securing Indebtedness under the Senior Secured Credit Facilities on the Issue Date will at all times be treated as incurred and outstanding under clause (b)(x) of the previous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Lien created for the benefit of the Holders of the Notes pursuant to this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 xml:space="preserve"> shall be deemed automatically and unconditionally released and discharged upon the release and discharge of each of the Liens described in clauses (i) and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Lien securing Indebtedness that was permitted to secure such Indebtedness at the time of the incurrence of such Indebtedness, such Lien shall also be permitted to secure any Increased Amount of such Indebtedness. The “</w:t>
      </w:r>
      <w:r>
        <w:rPr>
          <w:rFonts w:ascii="Times New Roman;Times;Serif" w:hAnsi="Times New Roman;Times;Serif"/>
          <w:b/>
          <w:i w:val="false"/>
          <w:caps w:val="false"/>
          <w:smallCaps w:val="false"/>
          <w:sz w:val="20"/>
        </w:rPr>
        <w:t>Increased Amount</w:t>
      </w:r>
      <w:r>
        <w:rPr>
          <w:rFonts w:ascii="Times New Roman;Times;Serif" w:hAnsi="Times New Roman;Times;Serif"/>
          <w:b w:val="false"/>
          <w:i w:val="false"/>
          <w:caps w:val="false"/>
          <w:smallCaps w:val="false"/>
          <w:sz w:val="20"/>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4.13.         </w:t>
      </w:r>
      <w:r>
        <w:rPr>
          <w:rFonts w:ascii="Times New Roman;Times;Serif" w:hAnsi="Times New Roman;Times;Serif"/>
          <w:b w:val="false"/>
          <w:i/>
          <w:caps w:val="false"/>
          <w:smallCaps w:val="false"/>
          <w:sz w:val="20"/>
        </w:rPr>
        <w:t>Existence</w:t>
      </w:r>
      <w:r>
        <w:rPr>
          <w:rFonts w:ascii="Times New Roman;Times;Serif" w:hAnsi="Times New Roman;Times;Serif"/>
          <w:b w:val="false"/>
          <w:i w:val="false"/>
          <w:caps w:val="false"/>
          <w:smallCaps w:val="false"/>
          <w:sz w:val="20"/>
        </w:rPr>
        <w:t xml:space="preserve">. Except as otherwise provided in this Article 4, Article 5 and Section 10.06 hereof and subject to the ability of Parent or any Restricted Subsidiary to convert (or similar action) to another form of legal entity under the laws of the jurisdiction under which Parent or such Restricted Subsidiary then exists, and except in connection with the Transactions, Parent will do or cause to be done all things necessary to preserve and keep in full force and effect its existence and the corporate, partnership, limited liability company or other existence of each Restricted Subsidiary and the rights (charter and statutory), licenses and franchises of Parent and each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Parent shall not be required to preserve any such right, license or franchise or the corporate, partnership, limited liability company or other existence of any Restricted Subsidiary if the respective Board of Directors, Board of Managers, or Sole Member, as applicable, or, with respect to a Restricted Subsidiary that is not a Significant Subsidiary (or group of Restricted Subsidiaries that taken together would not be a Significant Subsidiary), any Officer of Parent determines that the preservation thereof is no longer necessary or desirable in the conduct of the business of Parent and each Restricted Subsidiary, taken as a whole, and that the loss thereof is not, and will not be, disadvantageous in any material respect to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4.14.                 </w:t>
      </w:r>
      <w:r>
        <w:rPr>
          <w:rFonts w:ascii="Times New Roman;Times;Serif" w:hAnsi="Times New Roman;Times;Serif"/>
          <w:b w:val="false"/>
          <w:i w:val="false"/>
          <w:caps w:val="false"/>
          <w:smallCaps w:val="false"/>
          <w:sz w:val="20"/>
        </w:rPr>
        <w:t>Offer to Repurchase Upon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occurs, unless a third party makes a Change of Control Offer or the Issuer has previously or substantially concurrently delivered a redemption notice with respect to all the outstanding Notes under Section 3.07 hereof, the Issuer shall make an offer to purchase all of the Notes pursuant to the offer described below (the “</w:t>
      </w:r>
      <w:r>
        <w:rPr>
          <w:rFonts w:ascii="Times New Roman;Times;Serif" w:hAnsi="Times New Roman;Times;Serif"/>
          <w:b/>
          <w:i w:val="false"/>
          <w:caps w:val="false"/>
          <w:smallCaps w:val="false"/>
          <w:sz w:val="20"/>
        </w:rPr>
        <w:t>Change of Control Offer</w:t>
      </w:r>
      <w:r>
        <w:rPr>
          <w:rFonts w:ascii="Times New Roman;Times;Serif" w:hAnsi="Times New Roman;Times;Serif"/>
          <w:b w:val="false"/>
          <w:i w:val="false"/>
          <w:caps w:val="false"/>
          <w:smallCaps w:val="false"/>
          <w:sz w:val="20"/>
        </w:rPr>
        <w:t>”) at a price in cash (the “</w:t>
      </w:r>
      <w:r>
        <w:rPr>
          <w:rFonts w:ascii="Times New Roman;Times;Serif" w:hAnsi="Times New Roman;Times;Serif"/>
          <w:b/>
          <w:i w:val="false"/>
          <w:caps w:val="false"/>
          <w:smallCaps w:val="false"/>
          <w:sz w:val="20"/>
        </w:rPr>
        <w:t>Change of Control Payment</w:t>
      </w:r>
      <w:r>
        <w:rPr>
          <w:rFonts w:ascii="Times New Roman;Times;Serif" w:hAnsi="Times New Roman;Times;Serif"/>
          <w:b w:val="false"/>
          <w:i w:val="false"/>
          <w:caps w:val="false"/>
          <w:smallCaps w:val="false"/>
          <w:sz w:val="20"/>
        </w:rPr>
        <w:t xml:space="preserve">”) equal to 101.0% of the aggregate principal amount thereof plus accrued and unpaid interest, if any, to, but excluding, the date of purchase;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 repurchase date is on or after the relevant Record Date and on or before the corresponding Interest Payment Date, then Holders in whose names the Notes are registered at the close of business on such Record Date will receive the interest due on the repurchase date. Within 30 days following any Change of Control, the Issuer shall deliver or cause to be delivered a notice of such Change of Control Offer electronically or by first-class mail, with a copy to the Trustee, to each Holder to the address of such Holder appearing in the Note Register or otherwise in accordance with the Applicable Procedures with the following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a Change of Control Offer is being made pursuant to this Section 4.14 and that all Notes properly tendered pursuant to such Change of Control Offer will be accepted for payment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purchase price and the purchase date, which will be no earlier than 10 days nor later than 60 days from the date such notice is delivered (the “</w:t>
      </w:r>
      <w:r>
        <w:rPr>
          <w:rFonts w:ascii="Times New Roman;Times;Serif" w:hAnsi="Times New Roman;Times;Serif"/>
          <w:b/>
          <w:i w:val="false"/>
          <w:caps w:val="false"/>
          <w:smallCaps w:val="false"/>
          <w:sz w:val="20"/>
        </w:rPr>
        <w:t>Change of Control Payment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any Note not properly tendered will remain outstanding and continue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unless the Issuer defaults in the payment of the Change of Control Payment, all Notes accepted for payment pursuant to the Change of Control Offer shall cease to accrue interest on the Change of Control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Holders electing to have any Notes purchased pursuant to a Change of Control Offer shall be required to surrender such Notes, with the form entitled “Option of Holder to Elect Purchase” on the reverse of such Notes completed, to the Paying Agent specified in the notice at the address specified in the notice prior to the close of business on the third Business Day preceding the Change of Control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that Holders shall be entitled to withdraw their tendered Notes and their election to require the Issuer to purchase such Notes,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Paying Agent receives, not later than the close of business on the second Business Day prior to the expiration date of the Change of Control Offer, a letter setting forth the name of the Holder, the principal amount of Notes tendered for purchase, and a statement that such Holder is withdrawing its tendered Notes and its election to have such Notes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that Holders whose Notes are being purchased only in part shall be issued new Notes and such new Notes will be equal in principal amount to the unpurchased portion of the Notes surrendered. The unpurchased portion of the Notes must be equal to at least $2,000 or any integral multiple of $1,000 in excess of $2,000;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if such notice is delivered prior to the occurrence of a Change of Control, stating that the Change of Control Offer is conditional on the occurrence of such Change of Control;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other instructions, as determined by the Issuer, consistent with this Section 4.14, that a Holder must follow in order to have the Notes repurchased.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to Holders, if delivered or mailed in a manner herein provided, shall be conclusively presumed to have been given, whether or not the Holder receives such notice. If (x) the notice is delivered or mailed in a manner herein provided and (y) any Holder fails to receive such notice or a Holder receives such notice but it is defective, such Holder’s failure to receive such notice or such defect shall not affect the validity of the proceedings for the purchase of the Notes as to all other Holders that properly received such notice without defect. The Issuer shall comply with the requirements of Rule 14e-1 under the Exchange Act and any other securities laws, rules or regulations thereunder to the extent such laws or regulations are applicable in connection with the repurchase of Notes pursuant to a Change of Control Offer. To the extent that the provisions of any securities laws, rules or regulations, including Rule 14e-1 under the Exchange Act, conflict with the provisions of this Indenture, the Issuer shall not be deemed to have breached its obligations described in this Indenture by virtue of compliance therewith. The Issuer may rely on any no-action letters issued by the SEC indicating that the staff of the SEC will not recommend action in the event a tender offer satisfies certain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the Change of Control Payment Date, the Issuer will,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accept for payment all Notes issued by it or portions thereof properly tendered pursuant to the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deposit with the Paying Agent an amount equal to the aggregate Change of Control Payment in respect of all Notes or portions thereof so tendered;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deliver, or cause to be delivered, to the Trustee for cancellation the Notes so accepted together with an Officer’s Certificate to the Trustee stating that such Notes or portions thereof have been tendered to and purchased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Issuer shall not be required to make a Change of Control Offer following a Change of Control if (i) a third party makes the Change of Control Offer in the manner, at the times and otherwise in compliance with the requirements set forth in this Indenture applicable to a Change of Control Offer made by the Issuer and purchases all Notes validly tendered and not withdrawn under such Change of Control Offer or (ii) a notice of redemption of all outstanding Notes has been given pursuant to Section 3.07, unless and until there is a default in the payment of the redemption price on the applicable Redemption Date or the redemption is not consummated due to the failure of a condition precedent contained in the applicable redemption notice to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herein, a Change of Control Offer may be made in advance of a Change of Control, conditional upon such Change of Control, if a definitive agreement is in place for the Change of Control at the time of making of the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Other than as specifically provided in this Section 4.14, any purchase pursuant to this Section 4.14 shall be made pursuant to the provisions of Sections 3.02, 3.05 and 3.06 hereof, and references therein to “redeem,” “redemption,” “Redemption Date” and similar words shall be deemed to refer to “purchase,” “repurchase” and “Change of Control Payment Date” and similar words,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4.14 may be waived or modified with the written consent of the Holders of a majority in principal amount of the Notes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4.15.         </w:t>
      </w:r>
      <w:r>
        <w:rPr>
          <w:rFonts w:ascii="Times New Roman;Times;Serif" w:hAnsi="Times New Roman;Times;Serif"/>
          <w:b w:val="false"/>
          <w:i/>
          <w:caps w:val="false"/>
          <w:smallCaps w:val="false"/>
          <w:sz w:val="20"/>
        </w:rPr>
        <w:t>Limitation on Guarantees of Indebtedness by Restricted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not permit any of its Wholly-Owned Subsidiaries that are Restricted Subsidiaries (and non-Wholly-Owned Subsidiaries if such non-Wholly-Owned Subsidiaries guarantee other capital markets debt securities of the Issuer or any Guarantor in a principal amount in excess of the greater of $47.5 million and 10.0% of LTM EBITDA), other than the Issuer, a Guarantor, a Foreign Subsidiary or a Securitization Subsidiary, to guarantee the payment of (i) any Credit Facility permitted under Section 4.09(b)(i) hereof or (ii) capital markets debt securities of the Issuer or any other Guarantor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Restricted Subsidiary within 60 days after the guarantee of such Indebtedness executes and delivers a supplemental indenture to this Indenture the form of which is attached as Exhibit D hereto providing for a Guarantee by such Restricted Subsidiary, except that with respect to a guarantee of Indebtedness of the Issuer or any Guarantor, if such Indebtedness is by its express terms subordinated in right of payment to the Notes or such Guarantor’s Guarantee, any such guarantee by such Restricted Subsidiary with respect to such Indebtedness shall be subordinated in right of payment to such Guarantee substantially to the same extent as such Indebtedness is subordinated to the Notes or such Guarantor’s Guarantee of the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such Restricted Subsidiary waives and shall not in any manner whatsoever claim or take the benefit or advantage of, any rights of reimbursement, indemnity or subrogation or any other applicable rights against Parent or any other Restricted Subsidiary as a result of any payment by such Restricted Subsidiary under its Guarantee until payment in full of Obligations under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this Section 4.15 shall not be applicable (x) to any guarantee of any Restricted Subsidiary that existed at the time such Person became a Restricted Subsidiary and was not incurred in connection with, or in contemplation of, such Person becoming a Restricted Subsidiary, or (y) in the event that the Guarantee of the Issuer’s obligations under the Notes or this Indenture by such Subsidiary would not be permitted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may elect, in its sole discretion, to cause or allow any Restricted Subsidiary that is not otherwise required to be a Guarantor to become a Guarantor, in which case, such Restricted Subsidiary shall not be required to comply with the 60-day period described above and such Guarantee may be released at any time in Parent’s sole discretion so long as any Indebtedness of such Subsidiary then outstanding could have been incurred by such Subsidiary (either (x) when so incurred or (y) at the time of the release of such Guarantee) assuming such Subsidiary were not a Guarantor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any Guarantor becomes an Immaterial Subsidiary, Parent shall have the right, by delivery of a supplemental indenture executed by Parent to the Trustee, to cause such Immaterial Subsidiary to automatically and unconditionally cease to be a Guarantor, subject to the requirement described in the first paragraph above that such Subsidiary shall be required to become a Guarantor if it ceases to be an Immaterial Subsidiary (except that if such Subsidiary has been properly designated as an Unrestricted Subsidiary it shall not be so required to become a Guarantor or execute a supplemental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Immaterial Subsidiary shall not be permitted to Guarantee the Senior Secured Credit Facilities or other Indebtedness of the Issuer or the Guarantors, unless it again becomes a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4.16.         </w:t>
      </w:r>
      <w:r>
        <w:rPr>
          <w:rFonts w:ascii="Times New Roman;Times;Serif" w:hAnsi="Times New Roman;Times;Serif"/>
          <w:b w:val="false"/>
          <w:i/>
          <w:caps w:val="false"/>
          <w:smallCaps w:val="false"/>
          <w:sz w:val="20"/>
        </w:rPr>
        <w:t>Suspension of Covenants on Achievement of Investment Grade Status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any period of time that (i) the Notes have Investment Grade Ratings from both Rating Agencies and (ii) no Default has occurred and is continuing under this Indenture (the occurrence of the events described in the foregoing clauses (i) and (ii) being collectively referred to as a “</w:t>
      </w:r>
      <w:r>
        <w:rPr>
          <w:rFonts w:ascii="Times New Roman;Times;Serif" w:hAnsi="Times New Roman;Times;Serif"/>
          <w:b/>
          <w:i w:val="false"/>
          <w:caps w:val="false"/>
          <w:smallCaps w:val="false"/>
          <w:sz w:val="20"/>
        </w:rPr>
        <w:t>Covenant Suspension Event</w:t>
      </w:r>
      <w:r>
        <w:rPr>
          <w:rFonts w:ascii="Times New Roman;Times;Serif" w:hAnsi="Times New Roman;Times;Serif"/>
          <w:b w:val="false"/>
          <w:i w:val="false"/>
          <w:caps w:val="false"/>
          <w:smallCaps w:val="false"/>
          <w:sz w:val="20"/>
        </w:rPr>
        <w:t>” and the date thereof being referred to as the “</w:t>
      </w:r>
      <w:r>
        <w:rPr>
          <w:rFonts w:ascii="Times New Roman;Times;Serif" w:hAnsi="Times New Roman;Times;Serif"/>
          <w:b/>
          <w:i w:val="false"/>
          <w:caps w:val="false"/>
          <w:smallCaps w:val="false"/>
          <w:sz w:val="20"/>
        </w:rPr>
        <w:t>Suspension Date</w:t>
      </w:r>
      <w:r>
        <w:rPr>
          <w:rFonts w:ascii="Times New Roman;Times;Serif" w:hAnsi="Times New Roman;Times;Serif"/>
          <w:b w:val="false"/>
          <w:i w:val="false"/>
          <w:caps w:val="false"/>
          <w:smallCaps w:val="false"/>
          <w:sz w:val="20"/>
        </w:rPr>
        <w:t>”) then, Section 4.07, Section 4.08, Section 4.09, Section 4.10, Section 4.11, Section 4.15 and Section 5.01(a)(iv) hereof shall not be applicable to the Notes (collectively, the “</w:t>
      </w:r>
      <w:r>
        <w:rPr>
          <w:rFonts w:ascii="Times New Roman;Times;Serif" w:hAnsi="Times New Roman;Times;Serif"/>
          <w:b/>
          <w:i w:val="false"/>
          <w:caps w:val="false"/>
          <w:smallCaps w:val="false"/>
          <w:sz w:val="20"/>
        </w:rPr>
        <w:t>Suspended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any period that the foregoing covenants have been suspended, Parent may not designate any of its Subsidiaries as Unrestricted Subsidiaries pursuant to the second sentence of the definition of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Parent and its Restricted Subsidiaries are not subject to the Suspended Covenants under this Indenture for any period of time as a result of the foregoing, and on any subsequent date (the “</w:t>
      </w:r>
      <w:r>
        <w:rPr>
          <w:rFonts w:ascii="Times New Roman;Times;Serif" w:hAnsi="Times New Roman;Times;Serif"/>
          <w:b/>
          <w:i w:val="false"/>
          <w:caps w:val="false"/>
          <w:smallCaps w:val="false"/>
          <w:sz w:val="20"/>
        </w:rPr>
        <w:t>Reversion Date</w:t>
      </w:r>
      <w:r>
        <w:rPr>
          <w:rFonts w:ascii="Times New Roman;Times;Serif" w:hAnsi="Times New Roman;Times;Serif"/>
          <w:b w:val="false"/>
          <w:i w:val="false"/>
          <w:caps w:val="false"/>
          <w:smallCaps w:val="false"/>
          <w:sz w:val="20"/>
        </w:rPr>
        <w:t>”) one or both of the Rating Agencies withdraw their Investment Grade Rating or downgrade the rating assigned to the Notes below an Investment Grade Rating, then Parent and its Restricted Subsidiaries will thereafter again be subject to the Suspended Covenants under this Indenture with respect to future events. The period of time between the Suspension Date and the Reversion Date is referred to in this Indenture as the “</w:t>
      </w:r>
      <w:r>
        <w:rPr>
          <w:rFonts w:ascii="Times New Roman;Times;Serif" w:hAnsi="Times New Roman;Times;Serif"/>
          <w:b/>
          <w:i w:val="false"/>
          <w:caps w:val="false"/>
          <w:smallCaps w:val="false"/>
          <w:sz w:val="20"/>
        </w:rPr>
        <w:t>Suspension Period</w:t>
      </w:r>
      <w:r>
        <w:rPr>
          <w:rFonts w:ascii="Times New Roman;Times;Serif" w:hAnsi="Times New Roman;Times;Serif"/>
          <w:b w:val="false"/>
          <w:i w:val="false"/>
          <w:caps w:val="false"/>
          <w:smallCaps w:val="false"/>
          <w:sz w:val="20"/>
        </w:rPr>
        <w:t>.” Additionally, upon the occurrence of a Covenant Suspension Event, the amount of Excess Proceeds from Net Proceeds shall be reset to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Issuer shall give prompt written notice to the Trustee of the occurrence of each Suspension Date and Reversion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the foregoing, in the event of any such reinstatement of the Suspended Covenants, no action taken or omitted to be taken by Parent or any of its Restricted Subsidiaries prior to such reinstatement will give rise to a Default or Event of Default under this Indenture with respect to the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 with respect to Restricted Payments made after such reinstatement, the amount available to be made as Restricted Payments will be calculated as though Section 4.07 hereof had been in effect prior to, but not during, the Suspension Period and, accordingly, Restricted Payments made during the Suspension Period will not reduce the amount available to be made as Restricted Payments under Section 4.07(a); (ii) all Indebtedness incurred, or Disqualified Stock issued, during the Suspension Period will be classified to have been incurred or issued pursuant to Section 4.09(b)(iii) hereof; (iii) any Affiliate Transaction entered into after such reinstatement pursuant to an agreement entered into during any Suspension Period shall be deemed to be permitted pursuant to Section 4.11(b)(v) hereof, (iv) any encumbrance or restriction on the ability of any Restricted Subsidiary that is not a Guarantor to take any action described in clauses (i) through (iii) of Section 4.08(a) hereof; that becomes effective during any Suspension Period shall be deemed to be permitted pursuant to Section 4.08(b)(i) hereof; and (v) no Subsidiary of the Issuer shall be required to comply with Section 4.15 hereof after such reinstatement with respect to any guarantee entered into by such Subsidiary during any Suspension Period. On and after each Reversion Date, Parent and its Subsidiaries will be permitted to consummate transactions contemplated by any contract entered into during the Suspension Period so long as such contract and such consummation would have been permitted during such Suspension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provide the Trustee with prompt written notice of each Covenant Suspension Event or Reversion Date. The Trustee shall have no duty to monitor or provide notice to the Holders of the Notes of any such Covenant Suspension Event or Reversion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have no obligation to determine if a Suspension Period has commenced or terminated or to provide Holders with notice of the commencement or termination of a Suspension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5</w:t>
      </w:r>
      <w:r>
        <w:rPr>
          <w:rFonts w:ascii="Times New Roman;Times;Serif" w:hAnsi="Times New Roman;Times;Serif"/>
          <w:b w:val="false"/>
          <w:i w:val="false"/>
          <w:smallCaps/>
          <w:sz w:val="20"/>
        </w:rPr>
        <w:b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5.01.         </w:t>
      </w:r>
      <w:r>
        <w:rPr>
          <w:rFonts w:ascii="Times New Roman;Times;Serif" w:hAnsi="Times New Roman;Times;Serif"/>
          <w:b w:val="false"/>
          <w:i/>
          <w:caps w:val="false"/>
          <w:smallCaps w:val="false"/>
          <w:sz w:val="20"/>
        </w:rPr>
        <w:t>Merger, Consolidation or Sale of All or Substantially All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Parent nor the Issuer may consolidate or merge with or into or wind up into (whether or not Parent or the Issuer is the surviving Person), or sell, assign, transfer, lease, convey or otherwise dispose of all or substantially all of its properties or assets, in one or more related transactions, to any Person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Parent or the Issuer is the surviving Person or the Person formed by or surviving any such consolidation or merger (if other than Parent or the Issuer) or to which such sale, assignment, transfer, lease, conveyance or other disposition will have been made, is a Person organized or existing under the laws of the United States, any state thereof or the District of Columbia (such Person, as the case may be, being herein called the “</w:t>
      </w:r>
      <w:r>
        <w:rPr>
          <w:rFonts w:ascii="Times New Roman;Times;Serif" w:hAnsi="Times New Roman;Times;Serif"/>
          <w:b/>
          <w:i w:val="false"/>
          <w:caps w:val="false"/>
          <w:smallCaps w:val="false"/>
          <w:sz w:val="20"/>
        </w:rPr>
        <w:t>Successor 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the case of a transaction involving the Issuer where the surviving Person is not a corporation, a co-obligor of the Notes is 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Successor Company, if other than Parent or the Issuer, expressly assumes all the obligations of Parent or the Issuer under Parent’s Guarantee or the Notes, as applicable, pursuant to supplemental indentures or other documents or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immediately after such transaction, no Event of Default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immediately after giving pro forma effect to such transaction and any related financing transactions, as if such transactions had occurred at the beginning of the applicable four-quarter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or the Successor Company would be permitted to incur at least $1.00 of additional Indebtedness pursuant to the Ratio Debt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Fixed Charge Coverage Ratio for Parent or the Successor Company, as applicable, and its Restricted Subsidiaries would be equal to or greater than the Fixed Charge Coverage Ratio for Parent and its Restricted Subsidiaries immediately prior to such transaction,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Consolidated Leverage Ratio for Parent or the Successor Company, as applicable, and its Restricted Subsidiaries would be equal to or less than the Consolidated Leverage Ratio for Parent and its Restricted Subsidiaries immediately prior to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case of any such transaction involving the Issuer, each Guarantor, unless it is the other party to the transactions described above, in which case Section 5.01(c)(i)(B) hereof shall apply, shall have by supplemental indenture confirmed that its Guarantee shall apply to such Person’s obligations under this Indenture and the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Parent shall have delivered to the Trustee an Officer’s Certificate and an Opinion of Counsel, each stating that such consolidation, merger, amalgamation or transfer and such supplemental indentures, if any, comply with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Successor Company shall succeed to, and be substituted for the Issuer under this Indenture, the Guarantees and the Notes, as applicable. Notwithstanding clauses (iii), (iv) and (vi) of Section 5.01(a) hereof (which do not apply to transactions referred to in this clause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Restricted Subsidiary may consolidate or amalgamate with or merge with or into or transfer all or part of its properties and assets to Parent or the Issuer or any other Restricted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Parent and the Restricted Subsidiaries may complete any Permitted Tax 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clause (iii) of Section 5.01(a) hereof (which does not apply to the transactions referred to in this sentence), Parent and the Issuer may consolidate or otherwise combine with or merge into an Affiliate of Parent or the Issuer for the purpose of changing the legal domicile of Parent or the Issuer, reincorporating Parent or the Issuer in another jurisdiction, or changing the legal form of Parent or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shall not apply to the creation of a new Domestic Subsidiary as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Section 10.06 hereof, no Guarantor (other than Parent which shall be subject to the provisions set forth in Section 5.01(a) hereof) shall, and Parent shall not permit any such Guarantor to, consolidate, amalgamate or merge with or into or wind up into (whether or not such Guarantor is the surviving Person), or sell, assign, transfer, lease, convey or otherwise dispose of all or substantially all of its properties or assets, in one or more related transactions, to any Person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such Guarantor is the surviving Person or the Person formed by or surviving any such consolidation, amalgamation or merger (if other than such Guarantor) or to which such sale, assignment, transfer, lease, conveyance or other disposition will have been made is a Person organized or existing under the laws of the jurisdiction of organization of such Guarantor, as applicable, or the laws of the United States, any state thereof, the District of Columbia, or any territory thereof (such surviving Guarantor or such Person, as the case may be, being herein called the “</w:t>
      </w:r>
      <w:r>
        <w:rPr>
          <w:rFonts w:ascii="Times New Roman;Times;Serif" w:hAnsi="Times New Roman;Times;Serif"/>
          <w:b/>
          <w:i w:val="false"/>
          <w:caps w:val="false"/>
          <w:smallCaps w:val="false"/>
          <w:sz w:val="20"/>
        </w:rPr>
        <w:t>Successor Person</w:t>
      </w:r>
      <w:r>
        <w:rPr>
          <w:rFonts w:ascii="Times New Roman;Times;Serif" w:hAnsi="Times New Roman;Times;Serif"/>
          <w:b w:val="false"/>
          <w:i w:val="false"/>
          <w:caps w:val="false"/>
          <w:smallCaps w:val="false"/>
          <w:sz w:val="20"/>
        </w:rPr>
        <w:t>”); (B) the Successor Person, if other than such Guarantor, expressly assumes all the obligations of such Guarantor under this Indenture and such Guarantor’s related Guarantee pursuant to supplemental indentures or other documents or instruments; (C) immediately after such transaction, no Event of Default exists; and (D) Parent shall have delivered to the Trustee an Officer’s Certificate and an Opinion of Counsel, each stating that such consolidation, merger, amalgamation or transfer and such supplemental indentures, if any, comply with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is made in compliance with Section 4.10(a) 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case of assets comprised of Equity Interests of Subsidiaries that are not Guarantors, such Equity Interests are sold, assigned, transferred, leased, conveyed or otherwise disposed of to one or more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Section 10.06 hereof, the Successor Person shall succeed to, and be substituted for, such Guarantor under this Indenture and such Guarantor’s Guarantee. Notwithstanding the foregoing, any Guarantor (other than Parent) may (1) merge or consolidate with or into, wind up into or transfer all or part of its properties and assets to another Guarantor or the Issuer, (2) merge with an Affiliate of the Issuer solely for the purpose of reincorporating the Guarantor in the United States, any state thereof or the District of Columbia, (3) convert into a corporation, partnership, limited partnership, limited liability company or trust organized or existing under the laws of the jurisdiction of organization of such Guarantor or (4) liquidate or dissolve or change its legal form if Parent determines in good faith that such action is in the best interests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5.02.         </w:t>
      </w:r>
      <w:r>
        <w:rPr>
          <w:rFonts w:ascii="Times New Roman;Times;Serif" w:hAnsi="Times New Roman;Times;Serif"/>
          <w:b w:val="false"/>
          <w:i/>
          <w:caps w:val="false"/>
          <w:smallCaps w:val="false"/>
          <w:sz w:val="20"/>
        </w:rPr>
        <w:t>Successor Person Substituted</w:t>
      </w:r>
      <w:r>
        <w:rPr>
          <w:rFonts w:ascii="Times New Roman;Times;Serif" w:hAnsi="Times New Roman;Times;Serif"/>
          <w:b w:val="false"/>
          <w:i w:val="false"/>
          <w:caps w:val="false"/>
          <w:smallCaps w:val="false"/>
          <w:sz w:val="20"/>
        </w:rPr>
        <w:t xml:space="preserve">. Upon any consolidation or merger, or any sale, assignment, transfer, lease, conveyance or other disposition of all or substantially all of the assets of the Issuer or a Guarantor in accordance with Section 5.01 hereof, the successor Person formed by such consolidation or into or with which the Issuer or such Guarantor, as applicable,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the Issuer or such Guarantor, as applicable, shall refer instead to the successor Person, as applicable, and not to the Issuer or such Guarantor, as applicable), and may exercise every right and power of the Issuer or such Guarantor, as applicable, under this Indenture with the same effect as if such successor Person, as applicable, had been named as the Issuer or a Guarantor, as applicable, herein;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predecessor Issuer shall not be relieved from the obligation to pay the principal of and interest on the Notes except in the case of a sale, assignment, transfer, lease, conveyance or other disposition of all or substantially all of the Issuer’s assets that meets the requirements of Section 5.01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6</w:t>
      </w:r>
      <w:r>
        <w:rPr>
          <w:rFonts w:ascii="Times New Roman;Times;Serif" w:hAnsi="Times New Roman;Times;Serif"/>
          <w:b w:val="false"/>
          <w:i w:val="false"/>
          <w:smallCaps/>
          <w:sz w:val="20"/>
        </w:rPr>
        <w:br/>
        <w:t>Defaults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6.01.         </w:t>
      </w:r>
      <w:r>
        <w:rPr>
          <w:rFonts w:ascii="Times New Roman;Times;Serif" w:hAnsi="Times New Roman;Times;Serif"/>
          <w:b w:val="false"/>
          <w:i/>
          <w:caps w:val="false"/>
          <w:smallCaps w:val="false"/>
          <w:sz w:val="20"/>
        </w:rPr>
        <w:t>Events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wherever used herein, means any one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default in payment when due and payable, upon redemption, acceleration or otherwise, of principal of, or premium, if any,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default for 30 days or more in the payment when due of interest on or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Section 4.03(b) hereof, failure by the Issuer or any Guarantor for 60 days after receipt of written notice given by the Trustee or the Holders of not less than 30% in principal amount of the then outstanding Notes to comply with any of its obligations, covenants or agreements (other than a default referred to in clause (i) or (ii) above) contained in this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default under any mortgage, indenture or instrument under which there is issued or by which there is secured or evidenced any Indebtedness for money borrowed by Parent or any of its Restricted Subsidiaries that is a Significant Subsidiary (or any group of Restricted Subsidiaries that together (as of the latest audited consolidated financial statements of Parent for a fiscal quarter end provided pursuant to Section 4.03) would constitute a Significant Subsidiary) or the payment of which is guaranteed by Parent or any of its Restricted Subsidiaries that is a Significant Subsidiary (or any group of Restricted Subsidiaries that together (as of the latest audited consolidated financial statements of Parent for a fiscal quarter end provided pursuant to Section 4.03) would constitute a Significant Subsidiary), other than Indebtedness owed to Parent or a Restricted Subsidiary, whether such Indebtedness or guarantee now exists or is created after the issuance of the Notes, if both: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default either results from the failure to pay any principal of such Indebtedness at its stated final maturity (after giving effect to any applicable grace periods) or relates to an obligation other than the obligation to pay principal of any such Indebtedness at its stated final maturity and results in the holder or holders of such Indebtedness causing such Indebtedness to become due prior to its stated maturity;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principal amount of such Indebtedness, together with the principal amount of any other such Indebtedness in default for failure to pay principal at stated final maturity (after giving effect to any applicable grace periods), or the maturity of which has been so accelerated, aggregate the greater of $95.0 million and 20.0% of LTM EBITDA or more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failure by Parent or any Significant Subsidiary (or any group of Restricted Subsidiaries that together (as of the latest audited consolidated financial statements of Parent for a fiscal quarter end provided as required under Section 4.03 hereof) would constitute a Significant Subsidiary) to pay final judgments aggregating in excess of the greater of $95.0 million and 20.0% of LTM EBITDA (net of amounts covered by insurance policies issued by reputable insurance companies), which final judgments remain unpaid, undischarged and unstayed for a period of more than 60 days after such judgment becomes final, and in the event such judgment is covered by insurance, an enforcement proceeding has been commenced by any creditor upon such judgment or decree which is not promptly stayed;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Parent, the Issuer or any Significant Subsidiary (or any group of Restricted Subsidiaries that together (as of the latest audited consolidated financial statements of Parent for a fiscal quarter end provided as required under Section 4.03 hereof) would constitute a Significant Subsidiary), pursuant to or within the meaning of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commences proceedings to be adjudicated bankrupt or insolvent;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consents to the institution of bankruptcy or insolvency proceedings against it, or the filing by it of a petition or answer or consent seeking reorganization or relief under applicable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consents to the appointment of a receiver, liquidator, assignee, trustee, sequestrator or other similar official of it or for all or substantially all of its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makes a general assignment for the benefit of its creditors;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generally is not paying its debts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court of competent jurisdiction enters an order or decree under any Bankruptcy Law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for relief against Parent, the Issuer or any Significant Subsidiary (or any group of Restricted Subsidiaries that together (as of the latest audited consolidated financial statements of Parent for a fiscal quarter end provided as required under Section 4.03 hereof) would constitute a Significant Subsidiary), in a proceeding in which Parent, the Issuer or any such Subsidiary or such group of Restricted Subsidiaries is to be adjudicated bankrupt or insolvent;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appoints a receiver, liquidator, assignee, trustee, sequestrator or other similar official of Parent, the Issuer or any Significant Subsidiary (or any group of Restricted Subsidiaries that together (as of the latest audited consolidated financial statements of Parent for a fiscal quarter end provided as required under Section 4.03 hereof) would constitute a Significant Subsidiary), or for all or substantially all of the property of Parent, the Issuer or any such Subsidiary or such group of Restricted Subsidiaries;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orders the liquidation of Parent, the Issuer or any Significant Subsidiary (or any group of Restricted Subsidiaries that together (as of the latest audited consolidated financial statements of the Issuer for a fiscal quarter end provided as required under Section 4.03 hereof) would constitute a Significant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order or decree remains unstayed and in effect for 60 consecutive days;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Guarantee of any Significant Subsidiary (or any group of Restricted Subsidiaries that together (as of the latest audited consolidated financial statements of Parent for a fiscal quarter end provided as required under Section 4.03 hereof) would constitute a Significant Subsidiary) shall for any reason cease to be in full force and effect or be declared null and void or any responsible officer of any Guarantor that is a Significant Subsidiary (or the responsible officers of any group of Restricted Subsidiaries that together (as of the latest audited consolidated financial statements of Parent for a fiscal quarter end) would constitute a Significant Subsidiary), as the case may be, denies in writing that it has any further liability under its Guarantee or gives written notice to such effect, other than by reason of the termination of this Indenture or the release of any such Guarantee in accordance with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However, a Default under clause (iii), (iv) or (v) of this paragraph will not constitute an Event of Default until the Trustee or the Holders of at least 30% in principal amount of the outstanding Notes notify the Issuer of the Default and, with respect to clauses (iii) and (v), Parent or such Subsidiary does not cure such Default within the time specified in clause (iii) or (v) of the paragraph above after receipt of such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notice of Default may not be given with respect to any action taken, and reported publicly or to Holders, more than two years prior to such notice of Default. Any notice of Default, notice of acceleration or instruction to the Trustee to provide a notice of Default, notice of acceleration or take any other action (a “</w:t>
      </w:r>
      <w:r>
        <w:rPr>
          <w:rFonts w:ascii="Times New Roman;Times;Serif" w:hAnsi="Times New Roman;Times;Serif"/>
          <w:b/>
          <w:i w:val="false"/>
          <w:caps w:val="false"/>
          <w:smallCaps w:val="false"/>
          <w:sz w:val="20"/>
        </w:rPr>
        <w:t>Noteholder Direction</w:t>
      </w:r>
      <w:r>
        <w:rPr>
          <w:rFonts w:ascii="Times New Roman;Times;Serif" w:hAnsi="Times New Roman;Times;Serif"/>
          <w:b w:val="false"/>
          <w:i w:val="false"/>
          <w:caps w:val="false"/>
          <w:smallCaps w:val="false"/>
          <w:sz w:val="20"/>
        </w:rPr>
        <w:t>”) provided by any one or more Holders (each a “</w:t>
      </w:r>
      <w:r>
        <w:rPr>
          <w:rFonts w:ascii="Times New Roman;Times;Serif" w:hAnsi="Times New Roman;Times;Serif"/>
          <w:b/>
          <w:i w:val="false"/>
          <w:caps w:val="false"/>
          <w:smallCaps w:val="false"/>
          <w:sz w:val="20"/>
        </w:rPr>
        <w:t>Directing Holder</w:t>
      </w:r>
      <w:r>
        <w:rPr>
          <w:rFonts w:ascii="Times New Roman;Times;Serif" w:hAnsi="Times New Roman;Times;Serif"/>
          <w:b w:val="false"/>
          <w:i w:val="false"/>
          <w:caps w:val="false"/>
          <w:smallCaps w:val="false"/>
          <w:sz w:val="20"/>
        </w:rPr>
        <w:t>”) must be accompanied by a written representation from each such Holder delivered to the Issuer and the Trustee that such Holder is not (or, in the case such Holder is DTC or its nominee, that such Holder is being instructed solely by beneficial owners that are not) Net Short (a “</w:t>
      </w:r>
      <w:r>
        <w:rPr>
          <w:rFonts w:ascii="Times New Roman;Times;Serif" w:hAnsi="Times New Roman;Times;Serif"/>
          <w:b/>
          <w:i w:val="false"/>
          <w:caps w:val="false"/>
          <w:smallCaps w:val="false"/>
          <w:sz w:val="20"/>
        </w:rPr>
        <w:t>Position Representation</w:t>
      </w:r>
      <w:r>
        <w:rPr>
          <w:rFonts w:ascii="Times New Roman;Times;Serif" w:hAnsi="Times New Roman;Times;Serif"/>
          <w:b w:val="false"/>
          <w:i w:val="false"/>
          <w:caps w:val="false"/>
          <w:smallCaps w:val="false"/>
          <w:sz w:val="20"/>
        </w:rPr>
        <w:t>”), which representation, in the case of a Noteholder Direction relating to the delivery of a notice of Default (a “</w:t>
      </w:r>
      <w:r>
        <w:rPr>
          <w:rFonts w:ascii="Times New Roman;Times;Serif" w:hAnsi="Times New Roman;Times;Serif"/>
          <w:b/>
          <w:i w:val="false"/>
          <w:caps w:val="false"/>
          <w:smallCaps w:val="false"/>
          <w:sz w:val="20"/>
        </w:rPr>
        <w:t>Default Direction</w:t>
      </w:r>
      <w:r>
        <w:rPr>
          <w:rFonts w:ascii="Times New Roman;Times;Serif" w:hAnsi="Times New Roman;Times;Serif"/>
          <w:b w:val="false"/>
          <w:i w:val="false"/>
          <w:caps w:val="false"/>
          <w:smallCaps w:val="false"/>
          <w:sz w:val="20"/>
        </w:rPr>
        <w:t>”) shall be deemed a continuing representation until the resulting Event of Default is cured or otherwise ceases to exist or the Notes are accelerated. In addition, each Directing Holder is deemed, at the time of providing a Noteholder Direction, to covenant to provide the Issuer with such other information as the Issuer may reasonably request from time to time in order to verify the accuracy of such Noteholder’s Position Representation within five Business Days of request therefor (a “</w:t>
      </w:r>
      <w:r>
        <w:rPr>
          <w:rFonts w:ascii="Times New Roman;Times;Serif" w:hAnsi="Times New Roman;Times;Serif"/>
          <w:b/>
          <w:i w:val="false"/>
          <w:caps w:val="false"/>
          <w:smallCaps w:val="false"/>
          <w:sz w:val="20"/>
        </w:rPr>
        <w:t>Verification Covenant</w:t>
      </w:r>
      <w:r>
        <w:rPr>
          <w:rFonts w:ascii="Times New Roman;Times;Serif" w:hAnsi="Times New Roman;Times;Serif"/>
          <w:b w:val="false"/>
          <w:i w:val="false"/>
          <w:caps w:val="false"/>
          <w:smallCaps w:val="false"/>
          <w:sz w:val="20"/>
        </w:rPr>
        <w:t>”). In any case in which the Holder is DTC or its nominee, any Position Representation or Verification Covenant required hereunder shall be provided by the beneficial owner of the Notes in lieu of DTC or its nominee and DTC shall be entitled to conclusively rely on such Position Representation and Verification Covenant in delivering its direction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an Officer’s Certificate stating that the Issuer has initiated litigation in a court of competent jurisdiction seeking a determination that such Directing Holder was, at such time, in breach of its Position Representation, and seeking to invalidate any Default, Event of Default or acceleration (or notice thereof) that resulted from the applicable Noteholder Direction, the cure period with respect to such Default shall be automatically stayed and the cure period with respect to such Default or Event of Default that resulted from the applicable Noteholder Direction shall be automatically reinstituted and any remedy stayed pending a final and non-appealable determination of a court of competent jurisdiction on such matter. If, following the delivery of a Noteholder Direction, but prior to acceleration of the Notes, the Issuer provides to the Trustee an Officer’s Certificate stating that a Directing Holder failed to satisfy its Verification Covenant, the cure period with respect to such Default shall be automatically stayed and the cure period with respect to any Default or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w:t>
      </w:r>
      <w:r>
        <w:rPr>
          <w:rFonts w:ascii="Times New Roman;Times;Serif" w:hAnsi="Times New Roman;Times;Serif"/>
          <w:b w:val="false"/>
          <w:i/>
          <w:caps w:val="false"/>
          <w:smallCaps w:val="false"/>
          <w:sz w:val="20"/>
        </w:rPr>
        <w:t>void ab initio</w:t>
      </w:r>
      <w:r>
        <w:rPr>
          <w:rFonts w:ascii="Times New Roman;Times;Serif" w:hAnsi="Times New Roman;Times;Serif"/>
          <w:b w:val="false"/>
          <w:i w:val="false"/>
          <w:caps w:val="false"/>
          <w:smallCaps w:val="false"/>
          <w:sz w:val="20"/>
        </w:rPr>
        <w:t>, with the effect that such Default or Event of Default shall be deemed never to have occurred, acceleration voided and the Trustee shall be deemed not to have received such Noteholder Direction or any notice of such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preceding two paragraphs to the contrary, any Noteholder Direction delivered to the Trustee during the pendency of an Event of Default as the result of a bankruptcy or similar proceeding shall not require compliance with the foregoing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Trustee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The Trustee shall have no liability to the Issuer, any Holder or any other Person in acting in good faith on a Noteholder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 Default for a failure to report or failure to deliver a required certificate in connection with another Default (the “</w:t>
      </w:r>
      <w:r>
        <w:rPr>
          <w:rFonts w:ascii="Times New Roman;Times;Serif" w:hAnsi="Times New Roman;Times;Serif"/>
          <w:b/>
          <w:i w:val="false"/>
          <w:caps w:val="false"/>
          <w:smallCaps w:val="false"/>
          <w:sz w:val="20"/>
        </w:rPr>
        <w:t>Initial Default</w:t>
      </w:r>
      <w:r>
        <w:rPr>
          <w:rFonts w:ascii="Times New Roman;Times;Serif" w:hAnsi="Times New Roman;Times;Serif"/>
          <w:b w:val="false"/>
          <w:i w:val="false"/>
          <w:caps w:val="false"/>
          <w:smallCaps w:val="false"/>
          <w:sz w:val="20"/>
        </w:rPr>
        <w:t>”) occurs, then at the time such Initial Default is cured, such Default for a failure to report or failure to deliver a required certificate in connection with another Default that resulted solely because of that Initial Default will also be cured without any further action and (ii) any Default or Event of Default for the failure to comply with the time periods required for delivery of reports or notices of Default or otherwise to deliver any notice or certificate shall be deemed to be cured upon the delivery of any such report required by such covenant or such notice or certificate, as applicable, even though such delivery is not within the prescribed period specified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of any Event of Default specified in Section 6.01(a)(iv) hereof, such Event of Default and all consequences thereof (excluding any resulting payment default, other than as a result of acceleration of the Notes) shall be annulled, waived and rescinded, automatically and without any action by the Trustee or the Holders, if within 30 days after such Event of Default arose: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Indebtedness or guarantee that is the basis for such Event of Default has been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holders thereof have rescinded or waived the acceleration, notice or action (as the case may be) giving rise to such Event of Default;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default that is the basis for such Event of Default has been 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6.02.         </w:t>
      </w:r>
      <w:r>
        <w:rPr>
          <w:rFonts w:ascii="Times New Roman;Times;Serif" w:hAnsi="Times New Roman;Times;Serif"/>
          <w:b w:val="false"/>
          <w:i/>
          <w:caps w:val="false"/>
          <w:smallCaps w:val="false"/>
          <w:sz w:val="20"/>
        </w:rPr>
        <w:t>Acceleration</w:t>
      </w:r>
      <w:r>
        <w:rPr>
          <w:rFonts w:ascii="Times New Roman;Times;Serif" w:hAnsi="Times New Roman;Times;Serif"/>
          <w:b w:val="false"/>
          <w:i w:val="false"/>
          <w:caps w:val="false"/>
          <w:smallCaps w:val="false"/>
          <w:sz w:val="20"/>
        </w:rPr>
        <w:t>. If an Event of Default (other than an Event of Default of the type specified in clause (vi) or (vii) of Section 6.01(a) hereof with respect to Parent or the Issuer) occurs and is continuing under this Indenture, the Trustee (at the written direction of Holders of at least 30% of the principal amount of the then total outstanding Notes) by written notice to the Issuer, or the Holders of at least 30% in principal amount of the then total outstanding Notes by written notice to the Issuer and the Trustee, may by notice to the Issuer and the Trustee, in either case specifying in such notice the respective Event of Default and that such notice is a “notice of acceleration,” declare the principal, interest and any other monetary obligations on all the then outstanding Notes to be due and payable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effectiveness of such declaration, such principal and interest will be due and payable immediately. Notwithstanding the foregoing, in the case of an Event of Default arising under clause (vi) or (vii) of Section 6.01(a) hereof with respect to Parent or the Issuer, all outstanding Notes will become due and payable without further action or notice. The Trustee may withhold from the Holders notice of any continuing Default, except a Default relating to the payment of principal or interest, if it determines that withholding notice is in their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6.03.         </w:t>
      </w:r>
      <w:r>
        <w:rPr>
          <w:rFonts w:ascii="Times New Roman;Times;Serif" w:hAnsi="Times New Roman;Times;Serif"/>
          <w:b w:val="false"/>
          <w:i/>
          <w:caps w:val="false"/>
          <w:smallCaps w:val="false"/>
          <w:sz w:val="20"/>
        </w:rPr>
        <w:t>Other Remedies</w:t>
      </w:r>
      <w:r>
        <w:rPr>
          <w:rFonts w:ascii="Times New Roman;Times;Serif" w:hAnsi="Times New Roman;Times;Serif"/>
          <w:b w:val="false"/>
          <w:i w:val="false"/>
          <w:caps w:val="false"/>
          <w:smallCaps w:val="false"/>
          <w:sz w:val="20"/>
        </w:rPr>
        <w:t>. If an Event of Default occurs and is continuing, the Trustee may pursue any available remedy to collect the payment of principal, premium, if any, and interest on the Notes or to enforce the performance of any provision of the Notes or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6.04.         </w:t>
      </w:r>
      <w:r>
        <w:rPr>
          <w:rFonts w:ascii="Times New Roman;Times;Serif" w:hAnsi="Times New Roman;Times;Serif"/>
          <w:b w:val="false"/>
          <w:i/>
          <w:caps w:val="false"/>
          <w:smallCaps w:val="false"/>
          <w:sz w:val="20"/>
        </w:rPr>
        <w:t>Waiver of Past Defaults</w:t>
      </w:r>
      <w:r>
        <w:rPr>
          <w:rFonts w:ascii="Times New Roman;Times;Serif" w:hAnsi="Times New Roman;Times;Serif"/>
          <w:b w:val="false"/>
          <w:i w:val="false"/>
          <w:caps w:val="false"/>
          <w:smallCaps w:val="false"/>
          <w:sz w:val="20"/>
        </w:rPr>
        <w:t xml:space="preserve">. Holders of a majority in aggregate principal amount of the then outstanding Notes by notice to the Trustee (with a copy to the Issuer;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waiver or rescission under this Section 6.04 shall be valid and binding notwithstanding the failure to provide a copy of such notice to the Issuer) may on behalf of all the Holders waive any existing Default and its consequences under this Indenture (except a continuing Default in the payment of interest on or the principal of any Note held by a non-consenting Holder) (including in connection with an Asset Sale Offer or a Change of Control Offer) and rescind any acceleration with respect to the Notes and its consequences under this Indenture (except if such rescission would conflict with any judgment or decree of a court of competent jurisdiction). Upon any such waiver, such Default shall cease to exist, and any Event of Default arising therefrom shall be deemed to have been cured for every purpose of this Indenture; but no such waiver shall extend to any subsequent or other Default or impair any right consequent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6.05.         </w:t>
      </w:r>
      <w:r>
        <w:rPr>
          <w:rFonts w:ascii="Times New Roman;Times;Serif" w:hAnsi="Times New Roman;Times;Serif"/>
          <w:b w:val="false"/>
          <w:i/>
          <w:caps w:val="false"/>
          <w:smallCaps w:val="false"/>
          <w:sz w:val="20"/>
        </w:rPr>
        <w:t>Control by Majority</w:t>
      </w:r>
      <w:r>
        <w:rPr>
          <w:rFonts w:ascii="Times New Roman;Times;Serif" w:hAnsi="Times New Roman;Times;Serif"/>
          <w:b w:val="false"/>
          <w:i w:val="false"/>
          <w:caps w:val="false"/>
          <w:smallCaps w:val="false"/>
          <w:sz w:val="20"/>
        </w:rPr>
        <w:t>. Subject to Section 7.01(e) hereof, Holders of a majority in aggregate principal amount of the then total outstanding Notes may direct the time, method and place of conducting any proceeding for exercising any remedy available to the Trustee or of exercising any trust or power conferred on the Trustee and the Trustee may take any other action deemed proper by the Trustee that is not inconsistent with such direction. The Trustee, however, may refuse to follow any direction that conflicts with law or this Indenture or that the Trustee determines is unduly prejudicial to the rights of any other Holder of a Note (it being understood that the Trustee does not have an affirmative duty to ascertain whether or not such actions or forbearances are unduly prejudicial to such Holders) or that would involve the Trustee in personal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6.06.         </w:t>
      </w:r>
      <w:r>
        <w:rPr>
          <w:rFonts w:ascii="Times New Roman;Times;Serif" w:hAnsi="Times New Roman;Times;Serif"/>
          <w:b w:val="false"/>
          <w:i/>
          <w:caps w:val="false"/>
          <w:smallCaps w:val="false"/>
          <w:sz w:val="20"/>
        </w:rPr>
        <w:t>Limitation on Suits</w:t>
      </w:r>
      <w:r>
        <w:rPr>
          <w:rFonts w:ascii="Times New Roman;Times;Serif" w:hAnsi="Times New Roman;Times;Serif"/>
          <w:b w:val="false"/>
          <w:i w:val="false"/>
          <w:caps w:val="false"/>
          <w:smallCaps w:val="false"/>
          <w:sz w:val="20"/>
        </w:rPr>
        <w:t>. Subject to Section 6.07 hereof, no Holder of a Note may pursue any remedy with respect to this Indenture or the Notes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given the Trustee written notice that an Event of Default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Holders of at least 30% in principal amount of the total outstanding Notes have requested in writing the Trustee to pursue the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Holders have offered in writing and, if requested, provided to the Trustee security or indemnity reasonably satisfactory to the Trustee against any loss, liability or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has not complied with such request within 60 days after the receipt thereof and the offer of security or indemnity;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Holders of a majority in aggregate principal amount of the then total outstanding Notes have not given the Trustee a direction in writing inconsistent with such written request within such 60-day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6.07.         </w:t>
      </w:r>
      <w:r>
        <w:rPr>
          <w:rFonts w:ascii="Times New Roman;Times;Serif" w:hAnsi="Times New Roman;Times;Serif"/>
          <w:b w:val="false"/>
          <w:i/>
          <w:caps w:val="false"/>
          <w:smallCaps w:val="false"/>
          <w:sz w:val="20"/>
        </w:rPr>
        <w:t>Rights of Holders to Receive Payment.</w:t>
      </w:r>
      <w:r>
        <w:rPr>
          <w:rFonts w:ascii="Times New Roman;Times;Serif" w:hAnsi="Times New Roman;Times;Serif"/>
          <w:b w:val="false"/>
          <w:i w:val="false"/>
          <w:caps w:val="false"/>
          <w:smallCaps w:val="false"/>
          <w:sz w:val="20"/>
        </w:rPr>
        <w:t xml:space="preserve"> Notwithstanding any other provision of this Indenture (including, without limitation, Section 6.06), the contractual right of any Holder to receive payment of principal of, premium, if any, or interest, including additional amounts, if any, on the Notes held by such Holder, on or after the respective due dates expressed or provided for in the Notes, or to bring suit for the enforcement of any such payment on or after such respective dates, shall not be impaired or affected without the consent of such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the amendment, supplement or modification in accordance with the terms of this Indenture of Articles 4 and 5 and Sections 6.01(a)(iii), (iv), (v) and (vii) and the related definitions shall be deemed not to impair the contractual right of any Holder to receive payments of principal of, premium, if any, and interest, including additional amounts, if any, on such Holder’s Notes on or after the due dates therefor or to institute suit for the enforcement of any such payment on or with respect to such Holder’s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6.08.         </w:t>
      </w:r>
      <w:r>
        <w:rPr>
          <w:rFonts w:ascii="Times New Roman;Times;Serif" w:hAnsi="Times New Roman;Times;Serif"/>
          <w:b w:val="false"/>
          <w:i/>
          <w:caps w:val="false"/>
          <w:smallCaps w:val="false"/>
          <w:sz w:val="20"/>
        </w:rPr>
        <w:t>Collection Suit by Trustee</w:t>
      </w:r>
      <w:r>
        <w:rPr>
          <w:rFonts w:ascii="Times New Roman;Times;Serif" w:hAnsi="Times New Roman;Times;Serif"/>
          <w:b w:val="false"/>
          <w:i w:val="false"/>
          <w:caps w:val="false"/>
          <w:smallCaps w:val="false"/>
          <w:sz w:val="20"/>
        </w:rPr>
        <w:t>. If an Event of Default specified in Section 6.01(a)(i) or (ii) hereof occurs and is continuing, the Trustee is authorized to recover judgment in its own name and as trustee of an express trust against the Issuer for the whole amount of principal of, premium, if any, and interest remaining unpaid on, the Notes and interest on overdue principal, if applicable, and, to the extent lawful, interest and such further amount as shall be sufficient to cover the costs and expenses of collection, including the reasonable compensation, expenses, disbursements and advances of the Trustee, its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6.09.         </w:t>
      </w:r>
      <w:r>
        <w:rPr>
          <w:rFonts w:ascii="Times New Roman;Times;Serif" w:hAnsi="Times New Roman;Times;Serif"/>
          <w:b w:val="false"/>
          <w:i/>
          <w:caps w:val="false"/>
          <w:smallCaps w:val="false"/>
          <w:sz w:val="20"/>
        </w:rPr>
        <w:t>Restoration of Rights and Remedies</w:t>
      </w:r>
      <w:r>
        <w:rPr>
          <w:rFonts w:ascii="Times New Roman;Times;Serif" w:hAnsi="Times New Roman;Times;Serif"/>
          <w:b w:val="false"/>
          <w:i w:val="false"/>
          <w:caps w:val="false"/>
          <w:smallCaps w:val="false"/>
          <w:sz w:val="20"/>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Parent, the Issuer, the Trustee and the Holders shall be restored severally and respectively to their former positions hereunder and thereafter all rights and remedies of the Trustee and the Holders shall continue as though no such proceeding has been instituted.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6.10.         </w:t>
      </w:r>
      <w:r>
        <w:rPr>
          <w:rFonts w:ascii="Times New Roman;Times;Serif" w:hAnsi="Times New Roman;Times;Serif"/>
          <w:b w:val="false"/>
          <w:i/>
          <w:caps w:val="false"/>
          <w:smallCaps w:val="false"/>
          <w:sz w:val="20"/>
        </w:rPr>
        <w:t>Rights and Remedies Cumulative</w:t>
      </w:r>
      <w:r>
        <w:rPr>
          <w:rFonts w:ascii="Times New Roman;Times;Serif" w:hAnsi="Times New Roman;Times;Serif"/>
          <w:b w:val="false"/>
          <w:i w:val="false"/>
          <w:caps w:val="false"/>
          <w:smallCaps w:val="false"/>
          <w:sz w:val="20"/>
        </w:rPr>
        <w:t>. Except as otherwise provided with respect to the replacement or payment of mutilated, destroyed, lost or stolen Notes in Section 2.07 hereof,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6.11.         </w:t>
      </w:r>
      <w:r>
        <w:rPr>
          <w:rFonts w:ascii="Times New Roman;Times;Serif" w:hAnsi="Times New Roman;Times;Serif"/>
          <w:b w:val="false"/>
          <w:i/>
          <w:caps w:val="false"/>
          <w:smallCaps w:val="false"/>
          <w:sz w:val="20"/>
        </w:rPr>
        <w:t>Delay or Omission Not Waiver</w:t>
      </w:r>
      <w:r>
        <w:rPr>
          <w:rFonts w:ascii="Times New Roman;Times;Serif" w:hAnsi="Times New Roman;Times;Serif"/>
          <w:b w:val="false"/>
          <w:i w:val="false"/>
          <w:caps w:val="false"/>
          <w:smallCaps w:val="false"/>
          <w:sz w:val="20"/>
        </w:rPr>
        <w:t>. No delay or omission of the Trustee or of any Holder of any Note to exercise any right or remedy accruing upon any Event of Default shall impair any such right or remedy or constitute a waiver of any such Event of Default or an acquiescence therein. Every right and remedy given by this Article 6 or by law to the Trustee or to the Holders may be exercised from time to time, and as often as may be deemed expedient, by the Trustee or by the Holders,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6.12.         </w:t>
      </w:r>
      <w:r>
        <w:rPr>
          <w:rFonts w:ascii="Times New Roman;Times;Serif" w:hAnsi="Times New Roman;Times;Serif"/>
          <w:b w:val="false"/>
          <w:i/>
          <w:caps w:val="false"/>
          <w:smallCaps w:val="false"/>
          <w:sz w:val="20"/>
        </w:rPr>
        <w:t>Trustee May File Proofs of Claim</w:t>
      </w:r>
      <w:r>
        <w:rPr>
          <w:rFonts w:ascii="Times New Roman;Times;Serif" w:hAnsi="Times New Roman;Times;Serif"/>
          <w:b w:val="false"/>
          <w:i w:val="false"/>
          <w:caps w:val="false"/>
          <w:smallCaps w:val="false"/>
          <w:sz w:val="20"/>
        </w:rPr>
        <w:t>. 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Issuer (or any other obligor upon the Notes including the Guarantors), its creditors or its property and shall be entitled and empowered to participate as a member in any official committee of creditors appointed in such matter and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6.13.         </w:t>
      </w:r>
      <w:r>
        <w:rPr>
          <w:rFonts w:ascii="Times New Roman;Times;Serif" w:hAnsi="Times New Roman;Times;Serif"/>
          <w:b w:val="false"/>
          <w:i/>
          <w:caps w:val="false"/>
          <w:smallCaps w:val="false"/>
          <w:sz w:val="20"/>
        </w:rPr>
        <w:t>Priorities</w:t>
      </w:r>
      <w:r>
        <w:rPr>
          <w:rFonts w:ascii="Times New Roman;Times;Serif" w:hAnsi="Times New Roman;Times;Serif"/>
          <w:b w:val="false"/>
          <w:i w:val="false"/>
          <w:caps w:val="false"/>
          <w:smallCaps w:val="false"/>
          <w:sz w:val="20"/>
        </w:rPr>
        <w:t>. If the Trustee or any Agent collects any money or property pursuant to this Article 6, it shall pay out the money or property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Trustee, such Agent, their agents and attorneys for amounts due under Section 7.07 hereof, including payment of all compensation, expenses and liabilities incurred, and all advances made, by the Trustee or such Agent and the costs and expenses of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Holders for amounts due and unpaid on the Notes for principal, premium, if any, and interest, ratably, without preference or priority of any kind, according to the amounts due and payable on the Notes for principal, premium, if any, and interest, respectively;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Issuer or to such party as a court of competent jurisdiction shall direct including a Guarantor,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fix a record date and payment date for any payment to Holders pursuant to this Section 6.13.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6.14.         </w:t>
      </w:r>
      <w:r>
        <w:rPr>
          <w:rFonts w:ascii="Times New Roman;Times;Serif" w:hAnsi="Times New Roman;Times;Serif"/>
          <w:b w:val="false"/>
          <w:i/>
          <w:caps w:val="false"/>
          <w:smallCaps w:val="false"/>
          <w:sz w:val="20"/>
        </w:rPr>
        <w:t>Undertaking for Costs</w:t>
      </w:r>
      <w:r>
        <w:rPr>
          <w:rFonts w:ascii="Times New Roman;Times;Serif" w:hAnsi="Times New Roman;Times;Serif"/>
          <w:b w:val="false"/>
          <w:i w:val="false"/>
          <w:caps w:val="false"/>
          <w:smallCaps w:val="false"/>
          <w:sz w:val="20"/>
        </w:rPr>
        <w:t>. 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6.14 does not apply to a suit by the Trustee, a suit by a Holder of a Note pursuant to Section 6.07 hereof, or a suit by Holders of more than 10.0% in principal amount of the then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7</w:t>
      </w:r>
      <w:r>
        <w:rPr>
          <w:rFonts w:ascii="Times New Roman;Times;Serif" w:hAnsi="Times New Roman;Times;Serif"/>
          <w:b w:val="false"/>
          <w:i w:val="false"/>
          <w:smallCaps/>
          <w:sz w:val="20"/>
        </w:rPr>
        <w:b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7.01.         </w:t>
      </w:r>
      <w:r>
        <w:rPr>
          <w:rFonts w:ascii="Times New Roman;Times;Serif" w:hAnsi="Times New Roman;Times;Serif"/>
          <w:b w:val="false"/>
          <w:i/>
          <w:caps w:val="false"/>
          <w:smallCaps w:val="false"/>
          <w:sz w:val="20"/>
        </w:rPr>
        <w:t>Duties of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and known to the Trustee, the Trustee shall exercise such of the rights and powers vested in it by this Indenture, and use the same degree of care and skill in its exercise, as a prudent person would exercise or use under the circumstances in the conduct of such person’s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willful misconduct or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investigate or confirm the accuracy of mathematical calculations or other facts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not be relieved from liabilities for its own negligent action, its own negligent failure to act, or its own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paragraph does not limit the effect of paragraph (b) of this Section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 unless it is proved in a court of competent jurisdiction that the Trustee was negligent in ascertaining the pertinent facts;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it takes or omits to take in good faith in accordance with a direction received by it pursuant to Section 6.02, 6.04 or 6.05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therein expressly so provided, every provision of this Indenture that in any way relates to the Trustee is subject to paragraphs (a), (b) and (c) of this Section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be under no obligation to exercise any of its rights or powers under this Indenture at the request or direction of any of the Holders unless the Holders have offered, and if requested, provided to the Trustee indemnity or security reasonably satisfactory to it against any loss, liability or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liable for interest on any money received by it except as the Trustee may agree in writing with the Issuer. Money held in trust by the Trustee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7.02.         </w:t>
      </w:r>
      <w:r>
        <w:rPr>
          <w:rFonts w:ascii="Times New Roman;Times;Serif" w:hAnsi="Times New Roman;Times;Serif"/>
          <w:b w:val="false"/>
          <w:i/>
          <w:caps w:val="false"/>
          <w:smallCaps w:val="false"/>
          <w:sz w:val="20"/>
        </w:rPr>
        <w:t>Rights of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upon any document believed by it to be genuine and to have been signed or presented by the proper Person. The Trustee need not investigate any fact or matter stated in the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and its Restricted Subsidiaries, personally or by agent or attorney at the sole cost of the Issuer and shall incur no liability or additional liability of any kind by reason of such inquiry or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or to establish matters,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its attorneys and agents and shall not be responsible for the misconduct or negligence of any agent or attorney appointed with due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not be liable for any action it takes or omits to take in good faith that it believes to be authorized or within the rights or powers conferred upon it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Unless otherwise specifically provided in this Indenture, any demand, request, direction or notice from the Issuer shall be sufficient if signed by an Officer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the provisions of this Indenture shall require the Trustee to expend or risk its own funds or otherwise to incur any liability, financial or otherwise, in the performance of any of its duties hereunder, or in the exercise of any of its rights or powers if an indemnity reasonably satisfactory to it against such risk or liability is not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shall not be deemed to have notice of any Default or Event of Default unless a Responsible Officer of the Trustee has actual knowledge thereof or unless written notice of any event which is in fact such a Default or Event of Default is received by a Responsible Officer of the Trustee at the Corporate Trust Office, and such notice references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not be required to give any bond or surety in respect of the performance of its power and duties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Delivery of reports, information and documents (including without limitation reports contemplated under Section 4.03 hereof)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rely exclusively on Officer’s Certificates). Except with respect to receipt of payments of scheduled interest and any Default or Event of Default information contained in the Officer’s Certificate delivered to it pursuant to Section 4.04, the Trustee shall have no duty to monitor or investigate the Issuer’s compliance with or the breach of any representation, warranty or covenant made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permissive rights of the Trustee to take certain actions under this Indenture shall not be construed as a duty unless so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7.03.         </w:t>
      </w:r>
      <w:r>
        <w:rPr>
          <w:rFonts w:ascii="Times New Roman;Times;Serif" w:hAnsi="Times New Roman;Times;Serif"/>
          <w:b w:val="false"/>
          <w:i/>
          <w:caps w:val="false"/>
          <w:smallCaps w:val="false"/>
          <w:sz w:val="20"/>
        </w:rPr>
        <w:t>Individual Rights of Trustee</w:t>
      </w:r>
      <w:r>
        <w:rPr>
          <w:rFonts w:ascii="Times New Roman;Times;Serif" w:hAnsi="Times New Roman;Times;Serif"/>
          <w:b w:val="false"/>
          <w:i w:val="false"/>
          <w:caps w:val="false"/>
          <w:smallCaps w:val="false"/>
          <w:sz w:val="20"/>
        </w:rPr>
        <w:t>. The Trustee in its individual or any other capacity may become the owner or pledgee of Notes and may otherwise deal with the Issuer or any of its Affiliates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 The Trustee is also subject to Section 7.10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7.04.         </w:t>
      </w:r>
      <w:r>
        <w:rPr>
          <w:rFonts w:ascii="Times New Roman;Times;Serif" w:hAnsi="Times New Roman;Times;Serif"/>
          <w:b w:val="false"/>
          <w:i/>
          <w:caps w:val="false"/>
          <w:smallCaps w:val="false"/>
          <w:sz w:val="20"/>
        </w:rPr>
        <w:t>Trustee’s Disclaimer</w:t>
      </w:r>
      <w:r>
        <w:rPr>
          <w:rFonts w:ascii="Times New Roman;Times;Serif" w:hAnsi="Times New Roman;Times;Serif"/>
          <w:b w:val="false"/>
          <w:i w:val="false"/>
          <w:caps w:val="false"/>
          <w:smallCaps w:val="false"/>
          <w:sz w:val="20"/>
        </w:rPr>
        <w:t>. The Trustee shall not be responsible for and makes no representation as to the validity or adequacy of this Indenture or the Notes, it shall not be accountable for the Issuer’s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the Notes or the Guarantees other than its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7.05.         </w:t>
      </w:r>
      <w:r>
        <w:rPr>
          <w:rFonts w:ascii="Times New Roman;Times;Serif" w:hAnsi="Times New Roman;Times;Serif"/>
          <w:b w:val="false"/>
          <w:i/>
          <w:caps w:val="false"/>
          <w:smallCaps w:val="false"/>
          <w:sz w:val="20"/>
        </w:rPr>
        <w:t>Notice of Defaults</w:t>
      </w:r>
      <w:r>
        <w:rPr>
          <w:rFonts w:ascii="Times New Roman;Times;Serif" w:hAnsi="Times New Roman;Times;Serif"/>
          <w:b w:val="false"/>
          <w:i w:val="false"/>
          <w:caps w:val="false"/>
          <w:smallCaps w:val="false"/>
          <w:sz w:val="20"/>
        </w:rPr>
        <w:t>. If a Default occurs and is continuing and if it is known to the Trustee, the Trustee shall deliver to Holders a notice of the Default within 90 days after it occurs, unless such Default shall have been cured or waived, or if discovered after 90 days, promptly thereafter. The Trustee may withhold from the Holders notice of any continuing Default, except a Default relating to the payment of principal, premium, if any, or interest, if it determines that withholding notice is in their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7.06.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7.07.         </w:t>
      </w:r>
      <w:r>
        <w:rPr>
          <w:rFonts w:ascii="Times New Roman;Times;Serif" w:hAnsi="Times New Roman;Times;Serif"/>
          <w:b w:val="false"/>
          <w:i/>
          <w:caps w:val="false"/>
          <w:smallCaps w:val="false"/>
          <w:sz w:val="20"/>
        </w:rPr>
        <w:t>Compensation and Indemnity</w:t>
      </w:r>
      <w:r>
        <w:rPr>
          <w:rFonts w:ascii="Times New Roman;Times;Serif" w:hAnsi="Times New Roman;Times;Serif"/>
          <w:b w:val="false"/>
          <w:i w:val="false"/>
          <w:caps w:val="false"/>
          <w:smallCaps w:val="false"/>
          <w:sz w:val="20"/>
        </w:rPr>
        <w:t>. The Issuer shall pay to the Trustee from time to time such compensation for its acceptance of this Indenture and services hereunder as the parties shall agree in writing from time to time. The Trustee’s compensation shall not be limited by any law on compensation of a trustee of an express trust. The Issuer shall reimburse the Trustee promptly upon request for all reasonable out-of-pocket disbursements, advances and expenses incurred or made by it in addition to the compensation for its services. Such expenses shall include the reasonable compensation, disbursements and expenses of the Trustee’s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and the Guarantors, jointly and severally, shall indemnify the Trustee and its officers, directors, employees, agents and any predecessor trustee and its officers, directors, employees and agents for, and hold the Trustee harmless against, any and all loss, damage, claims, liability or expense (including reasonable attorneys’ fees) incurred by it in connection with the acceptance or administration of this trust and the performance of its duties hereunder (including the reasonable costs and expenses of enforcing this Indenture against the Issuer or any of the Guarantors (including this Section 7.07) or defending itself against any claim whether asserted by any Holder, the Issuer or any Guarantor, or liability in connection with the acceptance, exercise or performance of any of its powers or duties hereunder) (but excluding taxes imposed on such Persons in connection with compensation for such administration or performance). The Trustee shall notify Parent and the Issuer promptly of any claim of which a Responsible Officer has received written notice for which it may seek indemnity. Failure by the Trustee to so notify Parent and the Issuer shall not relieve Parent and the Issuer of their respective obligations hereunder. The Issuer shall defend the claim and the Trustee may have separate counsel and the Issuer shall pay the reasonable fees and expenses of such counsel. Neither the Issuer nor any Guarantor need reimburse any expense or indemnify against any loss, liability or expense incurred by the Trustee through the Trustee’s own willful misconduct, negligence or bad faith. Neither the Issuer nor any Guarantor need pay for any settlement made without its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Issuer under this Section 7.07 shall survive the satisfaction and discharge of this Indenture or the earlier resignation or removal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payment obligations of the Issuer and the Guarantors in this Section 7.07, the Trustee shall have a Lien prior to the Notes on all money or property held or collected by the Trustee, except money or property held in trust to pay principal and interest on particular Notes. Such Lien shall survive the satisfaction and discharge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Trustee incurs expenses or renders services after an Event of Default specified in Section 6.01(a)(vi) or Section 6.01(a)(vii) hereof occurs, the expenses and the compensation for the services (including the reasonable fees and expenses of its agents and counsel) are intended to constitute expenses of administration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7.08.         </w:t>
      </w:r>
      <w:r>
        <w:rPr>
          <w:rFonts w:ascii="Times New Roman;Times;Serif" w:hAnsi="Times New Roman;Times;Serif"/>
          <w:b w:val="false"/>
          <w:i/>
          <w:caps w:val="false"/>
          <w:smallCaps w:val="false"/>
          <w:sz w:val="20"/>
        </w:rPr>
        <w:t>Replacement of Trustee</w:t>
      </w:r>
      <w:r>
        <w:rPr>
          <w:rFonts w:ascii="Times New Roman;Times;Serif" w:hAnsi="Times New Roman;Times;Serif"/>
          <w:b w:val="false"/>
          <w:i w:val="false"/>
          <w:caps w:val="false"/>
          <w:smallCaps w:val="false"/>
          <w:sz w:val="20"/>
        </w:rPr>
        <w:t>. A resignation or removal of the Trustee and appointment of a successor Trustee shall become effective only upon the successor Trustee’s acceptance of appointment as provided in this Section 7.08. The Trustee may resign in writing at any time and be discharged from the trust hereby created by so notifying the Issuer. The Holders of a majority in principal amount of the then outstanding Notes may remove the Trustee by so notifying the Trustee and the Issuer in writing. The Issuer may remove the Trustee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fails to comply with Section 7.10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is adjudged bankrupt or insolvent or an order for relief is entered with respect to the Trustee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custodian or public officer takes charge of the Trustee or its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becomes incapable of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or if a vacancy exists in the office of Trustee for any reason, the Issuer shall promptly appoint a successor Trustee. Within one year after the successor Trustee takes office, the Holders of a majority in principal amount of the then outstanding Notes may appoint a successor Trustee to replace the successor Trustee appointed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does not take office within 60 days after the retiring Trustee resigns or is removed, the retiring Trustee (at the Issuer’s expense), the Issuer or the Holders of at least 10% in principal amount of the then outstanding Notes, may petition any court of competent jurisdiction for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after written request by any Holder who has been a Holder for at least six months, fails to comply with Section 7.10 hereof, such Holder may petition any court of competent jurisdiction for the removal of the Trustee and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all sums owing to the Trustee hereunder have been paid and subject to the Lien provided for in Section 7.07 hereof. Notwithstanding replacement of the Trustee pursuant to this Section 7.08, the Issuer’s obligations under Section 7.07 hereof shall continue for the benefit of the retiring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7.09.         </w:t>
      </w:r>
      <w:r>
        <w:rPr>
          <w:rFonts w:ascii="Times New Roman;Times;Serif" w:hAnsi="Times New Roman;Times;Serif"/>
          <w:b w:val="false"/>
          <w:i/>
          <w:caps w:val="false"/>
          <w:smallCaps w:val="false"/>
          <w:sz w:val="20"/>
        </w:rPr>
        <w:t>Successor Trustee by Merger, etc</w:t>
      </w:r>
      <w:r>
        <w:rPr>
          <w:rFonts w:ascii="Times New Roman;Times;Serif" w:hAnsi="Times New Roman;Times;Serif"/>
          <w:b w:val="false"/>
          <w:i w:val="false"/>
          <w:caps w:val="false"/>
          <w:smallCaps w:val="false"/>
          <w:sz w:val="20"/>
        </w:rPr>
        <w:t>. If the Trustee consolidates, merges or converts into, or transfers all or substantially all of its corporate trust business to, another corporation, the successor corporation without any further act shall be the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7.10.         </w:t>
      </w:r>
      <w:r>
        <w:rPr>
          <w:rFonts w:ascii="Times New Roman;Times;Serif" w:hAnsi="Times New Roman;Times;Serif"/>
          <w:b w:val="false"/>
          <w:i/>
          <w:caps w:val="false"/>
          <w:smallCaps w:val="false"/>
          <w:sz w:val="20"/>
        </w:rPr>
        <w:t>Eligibility; Disqualification</w:t>
      </w:r>
      <w:r>
        <w:rPr>
          <w:rFonts w:ascii="Times New Roman;Times;Serif" w:hAnsi="Times New Roman;Times;Serif"/>
          <w:b w:val="false"/>
          <w:i w:val="false"/>
          <w:caps w:val="false"/>
          <w:smallCaps w:val="false"/>
          <w:sz w:val="20"/>
        </w:rPr>
        <w:t>. 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together with its parent, a combined capital and surplus of at least $50,000,000 as set forth in its most recent published annual report of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8</w:t>
      </w:r>
      <w:r>
        <w:rPr>
          <w:rFonts w:ascii="Times New Roman;Times;Serif" w:hAnsi="Times New Roman;Times;Serif"/>
          <w:b w:val="false"/>
          <w:i w:val="false"/>
          <w:smallCaps/>
          <w:sz w:val="20"/>
        </w:rPr>
        <w:br/>
        <w:t>Legal Defeasance and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8.01.         </w:t>
      </w:r>
      <w:r>
        <w:rPr>
          <w:rFonts w:ascii="Times New Roman;Times;Serif" w:hAnsi="Times New Roman;Times;Serif"/>
          <w:b w:val="false"/>
          <w:i/>
          <w:caps w:val="false"/>
          <w:smallCaps w:val="false"/>
          <w:sz w:val="20"/>
        </w:rPr>
        <w:t>Option to Effect Legal Defeasance or Covenant Defeasance</w:t>
      </w:r>
      <w:r>
        <w:rPr>
          <w:rFonts w:ascii="Times New Roman;Times;Serif" w:hAnsi="Times New Roman;Times;Serif"/>
          <w:b w:val="false"/>
          <w:i w:val="false"/>
          <w:caps w:val="false"/>
          <w:smallCaps w:val="false"/>
          <w:sz w:val="20"/>
        </w:rPr>
        <w:t>. The Issuer may, at its option and at any time, elect to have either Section 8.02 or 8.03 hereof applied to all outstanding Notes and all obligations of the Guarantors with respect to the Guarantees upon compliance with the conditions set forth below in this Article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8.02.         </w:t>
      </w:r>
      <w:r>
        <w:rPr>
          <w:rFonts w:ascii="Times New Roman;Times;Serif" w:hAnsi="Times New Roman;Times;Serif"/>
          <w:b w:val="false"/>
          <w:i/>
          <w:caps w:val="false"/>
          <w:smallCaps w:val="false"/>
          <w:sz w:val="20"/>
        </w:rPr>
        <w:t>Legal Defeasance and Discharge</w:t>
      </w:r>
      <w:r>
        <w:rPr>
          <w:rFonts w:ascii="Times New Roman;Times;Serif" w:hAnsi="Times New Roman;Times;Serif"/>
          <w:b w:val="false"/>
          <w:i w:val="false"/>
          <w:caps w:val="false"/>
          <w:smallCaps w:val="false"/>
          <w:sz w:val="20"/>
        </w:rPr>
        <w:t>. Upon the Issuer’s exercise under Section 8.01 hereof of the option applicable to this Section 8.02, the Issuer and the Guarantors shall, subject to the satisfaction of the conditions set forth in Section 8.04 hereof, be deemed to have been discharged from their obligations with respect to all outstanding Notes and Guarantees and all Events of Default cured on the date the conditions set forth below are satisfied (“</w:t>
      </w:r>
      <w:r>
        <w:rPr>
          <w:rFonts w:ascii="Times New Roman;Times;Serif" w:hAnsi="Times New Roman;Times;Serif"/>
          <w:b/>
          <w:i w:val="false"/>
          <w:caps w:val="false"/>
          <w:smallCaps w:val="false"/>
          <w:sz w:val="20"/>
        </w:rPr>
        <w:t>Legal Defeasance</w:t>
      </w:r>
      <w:r>
        <w:rPr>
          <w:rFonts w:ascii="Times New Roman;Times;Serif" w:hAnsi="Times New Roman;Times;Serif"/>
          <w:b w:val="false"/>
          <w:i w:val="false"/>
          <w:caps w:val="false"/>
          <w:smallCaps w:val="false"/>
          <w:sz w:val="20"/>
        </w:rPr>
        <w:t>”). For this purpose, Legal Defeasance means that the Issuer and the Guarantors shall be deemed to have paid and discharged the entire Indebtedness represented by the outstanding Notes, which shall thereafter be deemed to be “outstanding” only for the purposes of Section 8.05 hereof and the other Sections of this Indenture referred to in clauses (a) and (b) below (it being understood that such Notes shall not be deemed outstanding for accounting purposes), and to have satisfied all their other obligations under such Notes, the Guarantees and this Indenture including that of the Guarantors (and the Trustee, on demand of and at the expense of the Issuer, shall execute such instruments reasonably requested by the Issuer acknowledging the same) and to have cured all then existing Events of Default, except for the following provisions which shall survive until otherwise terminated or discharged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of Holders to receive payments in respect of the principal of, premium, if any, and interest on the Notes when such payments are due solely out of the trust created pursuant to this Indenture referred to in Section 8.04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Issuer’s obligations with respect to Notes concerning issuing temporary Notes, registration of such Notes, mutilated, destroyed, lost or stolen Notes and the maintenance of an office or agency for payment and money for security payments held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rights, powers, trusts, duties and immunities of the Trustee, and the Issuer’s and the Guarantors’ obligations in connection therewith;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Section 8.02.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compliance with this Article 8, the Issuer may exercise its option under this Section 8.02 notwithstanding the prior exercise of its option under Section 8.03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8.03.         </w:t>
      </w:r>
      <w:r>
        <w:rPr>
          <w:rFonts w:ascii="Times New Roman;Times;Serif" w:hAnsi="Times New Roman;Times;Serif"/>
          <w:b w:val="false"/>
          <w:i/>
          <w:caps w:val="false"/>
          <w:smallCaps w:val="false"/>
          <w:sz w:val="20"/>
        </w:rPr>
        <w:t>Covenant Defeasance</w:t>
      </w:r>
      <w:r>
        <w:rPr>
          <w:rFonts w:ascii="Times New Roman;Times;Serif" w:hAnsi="Times New Roman;Times;Serif"/>
          <w:b w:val="false"/>
          <w:i w:val="false"/>
          <w:caps w:val="false"/>
          <w:smallCaps w:val="false"/>
          <w:sz w:val="20"/>
        </w:rPr>
        <w:t>. Upon the Issuer’s exercise under Section 8.01 hereof of the option applicable to this Section 8.03, the Issuer and the Guarantors shall, subject to the satisfaction of the conditions set forth in Section 8.04 hereof, be released from their obligations under the covenants contained in Sections 4.03, 4.04, 4.05, 4.07, 4.08, 4.09, 4.10, 4.11, 4.12, 4.13, 4.14 and 4.15 hereof and clauses (iv) and (v) of Section 5.01(a), Sections 5.01(c) and 5.01(d) hereof with respect to the outstanding Notes on and after the date the conditions set forth in Section 8.04 hereof are satisfied (“</w:t>
      </w:r>
      <w:r>
        <w:rPr>
          <w:rFonts w:ascii="Times New Roman;Times;Serif" w:hAnsi="Times New Roman;Times;Serif"/>
          <w:b/>
          <w:i w:val="false"/>
          <w:caps w:val="false"/>
          <w:smallCaps w:val="false"/>
          <w:sz w:val="20"/>
        </w:rPr>
        <w:t>Covenant Defeasance</w:t>
      </w:r>
      <w:r>
        <w:rPr>
          <w:rFonts w:ascii="Times New Roman;Times;Serif" w:hAnsi="Times New Roman;Times;Serif"/>
          <w:b w:val="false"/>
          <w:i w:val="false"/>
          <w:caps w:val="false"/>
          <w:smallCaps w:val="false"/>
          <w:sz w:val="20"/>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and the Guarantees, the Issuer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and the Guarantees shall be unaffected thereby. In addition, upon the Issuer’s exercise under Section 8.01 hereof of the option applicable to this Section 8.03 hereof, subject to the satisfaction of the conditions set forth in Section 8.04 hereof, Section 6.01(a)(iii) (solely with respect to the covenants that are released upon a Covenant Defeasance), 6.01(a)(iv), 6.01(a)(v), 6.01(a)(vi) (solely with respect to Restricted Subsidiaries subject thereto), 6.01(a)(vii) (solely with respect to Restricted Subsidiaries subject thereto) and 6.01(a)(viii) hereof shall not constitute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8.04.         </w:t>
      </w:r>
      <w:r>
        <w:rPr>
          <w:rFonts w:ascii="Times New Roman;Times;Serif" w:hAnsi="Times New Roman;Times;Serif"/>
          <w:b w:val="false"/>
          <w:i/>
          <w:caps w:val="false"/>
          <w:smallCaps w:val="false"/>
          <w:sz w:val="20"/>
        </w:rPr>
        <w:t>Conditions to Legal or Covenant Defeasance</w:t>
      </w:r>
      <w:r>
        <w:rPr>
          <w:rFonts w:ascii="Times New Roman;Times;Serif" w:hAnsi="Times New Roman;Times;Serif"/>
          <w:b w:val="false"/>
          <w:i w:val="false"/>
          <w:caps w:val="false"/>
          <w:smallCaps w:val="false"/>
          <w:sz w:val="20"/>
        </w:rPr>
        <w:t>. The following shall be the conditions to the application of either Section 8.02 or 8.03 hereof to the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either Legal Defeasance or Covenant Defeasance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must irrevocably deposit with the Trustee, in trust, for the benefit of the Holders of the Notes, cash in U.S. dollars, U.S. Government Securities, or a combination thereof, in such amounts as will be sufficient, in the opinion of a nationally recognized firm of independent public accountants, to pay the principal of, premium, if any, and interest due on the Notes on the stated maturity date or on the Redemption Date, as the case may be, of such principal, premium, if any, or interest on such Notes and the Issuer must specify whether such Notes are being defeased to maturity or to a particular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Legal Defeasance, the Issuer shall have delivered to the Trustee an Opinion of Counsel confirming that, subject to customary assumptions and exclusions,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 has received from, or there has been published by, the United States Internal Revenue Service a ruling,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since the issuance of the Notes, there has been a change in the applicable U.S. federal income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either case to the effect that, and based thereon such Opinion of Counsel shall confirm that, subject to customary assumptions and exclusions, the beneficial owners of the Notes will not recognize income, gain or loss for U.S. federal income tax purposes, as applicable, as a result of such Legal Defeasance and will be subject to U.S. federal income tax on the same amounts, in the same manner and at the same times as would have been the case if such Legal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Covenant Defeasance, the Issuer shall have delivered to the Trustee an Opinion of Counsel confirming that, subject to customary assumptions and exclusions, the beneficial owners of the Notes will not recognize income, gain or loss for U.S. federal income tax purposes as a result of such Covenant Defeasance and will be subject to such tax on the same amounts, in the same manner and at the same times as would have been the case if such Covenant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Default (other than that resulting from borrowing funds to be applied to make such deposit and any similar and simultaneous deposit relating to other Indebtedness and, in each case, the granting of Liens in connection therewith) shall have occurred and be continuing on the date of such deposit;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Legal Defeasance or Covenant Defeasance shall not result in a breach or violation of, or constitute a default under, the Senior Secured Credit Facilities or any other material agreement or instrument (other than this Indenture) to which the Issuer or any Guarantor is a party or by which the Issuer or any Guarantor is bound (other than that resulting from any borrowing of funds to be applied to make the deposit required to effect such Legal Defeasance or Covenant Defeasance and any similar and simultaneous deposit relating to other Indebtedness, and, in each case, the granting of Liens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Issuer shall have delivered to the Trustee an Opinion of Counsel to the effect that, as of the date of such opinion and subject to customary assumptions and exclusions following the deposit, the trust funds will not be subject to the effect of Section 547 of Title 11 of the United States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Issuer shall have delivered to the Trustee an Officer’s Certificate stating that the deposit was not made by the Issuer with the intent of defeating, hindering, delaying or defrauding any creditors of the Issuer or any Guarantor;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Issuer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8.05.         </w:t>
      </w:r>
      <w:r>
        <w:rPr>
          <w:rFonts w:ascii="Times New Roman;Times;Serif" w:hAnsi="Times New Roman;Times;Serif"/>
          <w:b w:val="false"/>
          <w:i/>
          <w:caps w:val="false"/>
          <w:smallCaps w:val="false"/>
          <w:sz w:val="20"/>
        </w:rPr>
        <w:t>Deposited Money and U.S. Government Securities to be Held in Trust; Other Miscellaneous Provisions</w:t>
      </w:r>
      <w:r>
        <w:rPr>
          <w:rFonts w:ascii="Times New Roman;Times;Serif" w:hAnsi="Times New Roman;Times;Serif"/>
          <w:b w:val="false"/>
          <w:i w:val="false"/>
          <w:caps w:val="false"/>
          <w:smallCaps w:val="false"/>
          <w:sz w:val="20"/>
        </w:rPr>
        <w:t>. Subject to Section 8.06 hereof, all money and U.S. Government Securities (including the proceeds thereof) deposited with the Trustee (or other qualifying trustee, collectively for purposes of this Section 8.05,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pursuant to Section 8.04 hereof in respect of the outstanding Notes shall be held in trust and applied by the Trustee, in accordance with the provisions of such Notes and this Indenture, to the payment, either directly or through any Paying Agent (including the Issuer or a Guarantor acting as Paying Agent) as the Trustee may determine, to the Holders of such Notes of all sums due and to become due thereon in respect of principal, premium and interest,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and indemnify the Trustee against any tax, fee or other charge imposed on or assessed against the cash or U.S. Government Securities deposited pursuant to Section 8.04 hereof or the principal and interest received in respect thereof other than any such tax, fee or other charge which by law is for the account of the Holders of the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Article 8 to the contrary notwithstanding, the Trustee shall deliver or pay to the Issuer from time to time upon the request of the Issuer any money or U.S. Government Securities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8.06.         </w:t>
      </w:r>
      <w:r>
        <w:rPr>
          <w:rFonts w:ascii="Times New Roman;Times;Serif" w:hAnsi="Times New Roman;Times;Serif"/>
          <w:b w:val="false"/>
          <w:i/>
          <w:caps w:val="false"/>
          <w:smallCaps w:val="false"/>
          <w:sz w:val="20"/>
        </w:rPr>
        <w:t>Repayment to Issuer</w:t>
      </w:r>
      <w:r>
        <w:rPr>
          <w:rFonts w:ascii="Times New Roman;Times;Serif" w:hAnsi="Times New Roman;Times;Serif"/>
          <w:b w:val="false"/>
          <w:i w:val="false"/>
          <w:caps w:val="false"/>
          <w:smallCaps w:val="false"/>
          <w:sz w:val="20"/>
        </w:rPr>
        <w:t>. Subject to any applicable abandoned property law, any money deposited with the Trustee or any Paying Agent, or then held by the Issuer, in trust for the payment of the principal of, premium, if any, or interest on any Note and remaining unclaimed for two years after such principal, and premium, if any, or interest has become due and payable shall be paid to the Issuer on its request or (if then held by the Issuer) shall be discharged from such trust; and the Holder of such Note shall thereafter look only to the Issuer for payment thereof, and all liability of the Trustee or such Paying Agent with respect to such trust money, and all liability of the Issuer as trustee thereof, shall thereupon cease.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8.07.         </w:t>
      </w:r>
      <w:r>
        <w:rPr>
          <w:rFonts w:ascii="Times New Roman;Times;Serif" w:hAnsi="Times New Roman;Times;Serif"/>
          <w:b w:val="false"/>
          <w:i/>
          <w:caps w:val="false"/>
          <w:smallCaps w:val="false"/>
          <w:sz w:val="20"/>
        </w:rPr>
        <w:t>Reinstatement</w:t>
      </w:r>
      <w:r>
        <w:rPr>
          <w:rFonts w:ascii="Times New Roman;Times;Serif" w:hAnsi="Times New Roman;Times;Serif"/>
          <w:b w:val="false"/>
          <w:i w:val="false"/>
          <w:caps w:val="false"/>
          <w:smallCaps w:val="false"/>
          <w:sz w:val="20"/>
        </w:rPr>
        <w:t xml:space="preserve">. If the Trustee or Paying Agent is unable to apply any United States dollars or U.S. Government Securities in accordance with Section 8.02 or 8.03 hereof, as the case may be, by reason of any order or judgment of any court or governmental authority enjoining, restraining or otherwise prohibiting such application, then the Issuer’s and the Guarantors’ obligations under this Indenture and the Notes and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 Issuer makes any payment of principal of, premium, if any, or interest on any Note following the reinstatement of its obligations, the Issuer shall be subrogated to the rights of the Holders of such Notes to receive such payment from the money held by the Trustee or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9</w:t>
      </w:r>
      <w:r>
        <w:rPr>
          <w:rFonts w:ascii="Times New Roman;Times;Serif" w:hAnsi="Times New Roman;Times;Serif"/>
          <w:b w:val="false"/>
          <w:i w:val="false"/>
          <w:smallCaps/>
          <w:sz w:val="20"/>
        </w:rPr>
        <w:br/>
        <w:t>Amendment, Supplement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9.01.         </w:t>
      </w:r>
      <w:r>
        <w:rPr>
          <w:rFonts w:ascii="Times New Roman;Times;Serif" w:hAnsi="Times New Roman;Times;Serif"/>
          <w:b w:val="false"/>
          <w:i/>
          <w:caps w:val="false"/>
          <w:smallCaps w:val="false"/>
          <w:sz w:val="20"/>
        </w:rPr>
        <w:t>Without Consent of Holders</w:t>
      </w:r>
      <w:r>
        <w:rPr>
          <w:rFonts w:ascii="Times New Roman;Times;Serif" w:hAnsi="Times New Roman;Times;Serif"/>
          <w:b w:val="false"/>
          <w:i w:val="false"/>
          <w:caps w:val="false"/>
          <w:smallCaps w:val="false"/>
          <w:sz w:val="20"/>
        </w:rPr>
        <w:t>. Notwithstanding Section 9.02 hereof, the Issuer, any Guarantor (with respect to a Guarantee or this Indenture to which it is a party) and the Trustee may amend or supplement this Indenture and any Guarantee or Notes without the consent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cure any ambiguity, omission, mistake, defect or inconsistency or reduce the minimum denomination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provide for uncertificated Notes in addition to or in place of certificated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comply with Section 5.01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provide for the assumption of the Issuer’s or any Guarantor’s obligations to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make any change that would provide any additional rights or benefits to the Holders or that does not materially adversely affect the legal rights under this Indenture of any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add covenants for the benefit of the Holders or to surrender any right or power conferred upon the Issuer or any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provide for the issuance of Additional Notes in accordance with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comply with requirements of the SEC in order to effect or maintain the qualification of this Indenture under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evidence and provide for the acceptance and appointment under this Indenture of a successor Trustee hereunder pursuant to the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provide for the issuance of exchange notes or private exchange notes, which are identical to exchange notes except that they are not freely transferable;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add a Guarantor under this Indenture, to add security to or for the benefit of the Notes, or to release, or confirm or evidence the release of, a Guarantor or Lien in accordance with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conform the text of this Indenture, Guarantees or the Notes to any provision of the “Description of the Notes” section of the Offering Memorandum;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to make any amendment to the provisions of this Indenture relating to the transfer and legending of Notes as permitted by this Indenture, including, without limitation, to facilitate the issuance and administration of the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 compliance with this Indenture as so amended would not result in Notes being transferred in violation of the Securities Act or any applicable securities law and (b) such amendment does not materially and adversely affect the rights of Holders to transfer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Issuer and upon receipt by the Trustee of the documents described in Section 7.02 hereof (to the extent requested by the Trustee and subject to the last sentence of Section 9.06), the Trustee shall join with the Issuer and the Guarantors in the execution of any amended or supplemental indenture authorized or permitted by the terms of this Indenture and to make any further appropriate agreements and stipulations that may be therein contained, but the Trustee shall have the right, but not be obligated to, enter into such amended or supplemental indenture or such other Notes or Guarantees that affects its own rights, duties or immunities under this Indenture or otherwise. Notwithstanding the foregoing, neither an Opinion of Counsel nor an Officer’s Certificate, nor a board resolution, shall be required in connection with the addition of a Guarantor under this Indenture upon execution and delivery by such Guarantor and the Trustee of a supplemental indenture to this Indenture, the form of which is attached as Exhibit 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9.02.         </w:t>
      </w:r>
      <w:r>
        <w:rPr>
          <w:rFonts w:ascii="Times New Roman;Times;Serif" w:hAnsi="Times New Roman;Times;Serif"/>
          <w:b w:val="false"/>
          <w:i/>
          <w:caps w:val="false"/>
          <w:smallCaps w:val="false"/>
          <w:sz w:val="20"/>
        </w:rPr>
        <w:t>With Consent of Holders</w:t>
      </w:r>
      <w:r>
        <w:rPr>
          <w:rFonts w:ascii="Times New Roman;Times;Serif" w:hAnsi="Times New Roman;Times;Serif"/>
          <w:b w:val="false"/>
          <w:i w:val="false"/>
          <w:caps w:val="false"/>
          <w:smallCaps w:val="false"/>
          <w:sz w:val="20"/>
        </w:rPr>
        <w:t>. Except as provided in Section 9.01 and this Section 9.02, the Issuer, the Guarantors and the Trustee may amend or supplement this Indenture, the Notes and the Guarantees with the consent of the Holders of at least a majority in principal amount of the Notes then outstanding, including consents obtained in connection with a purchase of, or tender offer or exchange offer for, Notes and, subject to Section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the Guarantees or the Notes issued thereunder may be waived with the consent of the Holders of a majority in principal amount of the then outstanding Notes (including consents obtained in connection with a purchase of or tender offer or exchange offer for the Notes). Section 2.08 hereof and Section 2.09 hereof shall determine which Notes are considered to be “outstanding” for the purposes of this Section 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Issuer accompanied by a resolution of its board of directors authorizing the execution of any such amended or supplemental indenture, and upon the filing with the Trustee of evidence reasonably satisfactory to the Trustee of the consent of the Holders as aforesaid, the Trustee shall join with the Issuer and the Guarantors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Holders under this Section 9.02 to approve the particular form of any proposed amendment or waiver, but it shall be sufficient if such consent approves the substance thereof. A consent to any amendment or waiver under this Indenture by any Holder of Notes given in connection with a tender of such Holder’s Notes will not be rendered invalid by such tender.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under this Section 9.02 becomes effective, the Issuer shall deliver to the Holders affected thereby a notice briefly describing the amendment, supplement or waiver. Any failure of the Issuer to deliver such notice, or any defect therein, shall not, however, in any way impair or affect the validity of any such amended or supplemental indenture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each adversely affected Holder of Notes, an amendment or waiver under this Section 9.02 may not, with respect to any Notes held by a non-consenting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reduce the principal amount of such Notes whose Holders must consent to an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principal of or change the fixed final maturity of any such Note or alter or waive the provisions with respect to the redemption of such Note (other than provisions relating to (i) notice periods (to the extent consistent with applicable requirements of clearing and settlement systems) for redemption and conditions to redemption and (ii) Section 3.09, Section 4.10 and Section 4.14 hereof (as such Sections referred to in this clause (ii) are in effect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reduce the rate of or change the time for payment of interest on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waive a Default in the payment of principal of or premium, if any, or interest on the Notes, except a rescission of acceleration of the Notes by the Holders of at least a majority in aggregate principal amount of the Notes and a waiver of the payment default that resulted from such acceleration, or in respect of a covenant or provision contained in this Indenture or any Guarantee which cannot be amended or modified without the consent of all affected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make any Note payable in money other than that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any change in the provisions of this Indenture relating to the rights of Holders to receive payments of principal of or premium, if any, or interest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make any change in amendment and waiver provisions contained in this Article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impair the contractual right of any Holder to receive payment of principal of and interest on such Holder’s Notes on or after the due dates therefor or to institute suit for the enforcement of any such payment on or with respect to such Holder’s Notes (and, for the avoidance of doubt, the amendment, supplement or modification in accordance with Section 9.01 and this Section 9.02 of the covenants described in Article 4 and 5 and Sections 6.01(a)(iii), (iv), (v) and (viii) hereof and the related definitions shall be deemed not to impair the contractual right of any Holder to receive payment of principal and interest on such Holder’s Notes on or after the due dates therefor or to institute suit for the enforcement of any such payment on or with respect to such Holder’s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expressly make any change to or modify the ranking of the Notes that would adversely affect the Holders;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except as expressly permitted by this Indenture, modify the Guarantees of Parent, any Significant Subsidiary, or any group of Restricted Subsidiaries that, taken together (as of the latest audited consolidated financial statements for Parent), would constitute a Significant Subsidiary, in any manner materially adverse to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9.03.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9.04.         </w:t>
      </w:r>
      <w:r>
        <w:rPr>
          <w:rFonts w:ascii="Times New Roman;Times;Serif" w:hAnsi="Times New Roman;Times;Serif"/>
          <w:b w:val="false"/>
          <w:i/>
          <w:caps w:val="false"/>
          <w:smallCaps w:val="false"/>
          <w:sz w:val="20"/>
        </w:rPr>
        <w:t>Revocation and Effect of Consents</w:t>
      </w:r>
      <w:r>
        <w:rPr>
          <w:rFonts w:ascii="Times New Roman;Times;Serif" w:hAnsi="Times New Roman;Times;Serif"/>
          <w:b w:val="false"/>
          <w:i w:val="false"/>
          <w:caps w:val="false"/>
          <w:smallCaps w:val="false"/>
          <w:sz w:val="20"/>
        </w:rPr>
        <w:t>. 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120 days after such record date unless the consent of the requisite number of Holders has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9.05.         </w:t>
      </w:r>
      <w:r>
        <w:rPr>
          <w:rFonts w:ascii="Times New Roman;Times;Serif" w:hAnsi="Times New Roman;Times;Serif"/>
          <w:b w:val="false"/>
          <w:i/>
          <w:caps w:val="false"/>
          <w:smallCaps w:val="false"/>
          <w:sz w:val="20"/>
        </w:rPr>
        <w:t>Notation on or Exchange of Notes</w:t>
      </w:r>
      <w:r>
        <w:rPr>
          <w:rFonts w:ascii="Times New Roman;Times;Serif" w:hAnsi="Times New Roman;Times;Serif"/>
          <w:b w:val="false"/>
          <w:i w:val="false"/>
          <w:caps w:val="false"/>
          <w:smallCaps w:val="false"/>
          <w:sz w:val="20"/>
        </w:rPr>
        <w:t>. The Trustee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make the appropriate notation or issue a new Note shall not affect the validity and effect of such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9.06.         </w:t>
      </w:r>
      <w:r>
        <w:rPr>
          <w:rFonts w:ascii="Times New Roman;Times;Serif" w:hAnsi="Times New Roman;Times;Serif"/>
          <w:b w:val="false"/>
          <w:i/>
          <w:caps w:val="false"/>
          <w:smallCaps w:val="false"/>
          <w:sz w:val="20"/>
        </w:rPr>
        <w:t>Trustee to Sign Amendments, etc</w:t>
      </w:r>
      <w:r>
        <w:rPr>
          <w:rFonts w:ascii="Times New Roman;Times;Serif" w:hAnsi="Times New Roman;Times;Serif"/>
          <w:b w:val="false"/>
          <w:i w:val="false"/>
          <w:caps w:val="false"/>
          <w:smallCaps w:val="false"/>
          <w:sz w:val="20"/>
        </w:rPr>
        <w:t>. The Trustee shall sign any amendment, supplement or waiver authorized pursuant to this Article 9 if the amendment, supplement or waiver does not adversely affect the rights, duties, liabilities or immunities of the Trustee. In executing any amendment, supplement or waiver, the Trustee shall be provided with, upon request, and (subject to Section 7.01 hereof) shall be fully protected in relying upon, in addition to the documents required by Section 12.04 hereof, an Officer’s Certificate and an Opinion of Counsel each stating that the execution of such amended or supplemental indenture is authorized or permitted by this Indenture and that such amendment, supplement or waiver is the legal, valid and binding obligation of the Issuer and any Guarantors party thereto, enforceable against them in accordance with its terms, subject to customary exceptions. Notwithstanding the foregoing, neither an Opinion of Counsel nor an Officer’s Certificate, nor a board resolution, shall be required for the Trustee to execute any supplemental indenture to this Indenture, the form of which is attached as Exhibit 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10</w:t>
      </w:r>
      <w:r>
        <w:rPr>
          <w:rFonts w:ascii="Times New Roman;Times;Serif" w:hAnsi="Times New Roman;Times;Serif"/>
          <w:b w:val="false"/>
          <w:i w:val="false"/>
          <w:smallCaps/>
          <w:sz w:val="20"/>
        </w:rPr>
        <w:br/>
        <w:t>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10.01.      </w:t>
      </w:r>
      <w:r>
        <w:rPr>
          <w:rFonts w:ascii="Times New Roman;Times;Serif" w:hAnsi="Times New Roman;Times;Serif"/>
          <w:b w:val="false"/>
          <w:i/>
          <w:caps w:val="false"/>
          <w:smallCaps w:val="false"/>
          <w:sz w:val="20"/>
        </w:rPr>
        <w:t>Guarantee</w:t>
      </w:r>
      <w:r>
        <w:rPr>
          <w:rFonts w:ascii="Times New Roman;Times;Serif" w:hAnsi="Times New Roman;Times;Serif"/>
          <w:b w:val="false"/>
          <w:i w:val="false"/>
          <w:caps w:val="false"/>
          <w:smallCaps w:val="false"/>
          <w:sz w:val="20"/>
        </w:rPr>
        <w:t>. Subject to this Article 10, each of the Guarantors hereby, jointly and severally, irrevocably and unconditionally, guarantees, on an unsecured senior basis, to each Holder of a Note authenticated and delivered by the Trustee and to the Trustee and its successors and assigns, irrespective of the validity and enforceability of this Indenture, the Notes or the Obligations of the Issuer hereunder or thereunder, that: (a) the principal of and interest and premium, if any, on the Notes shall be promptly paid in full when due, whether at maturity, by acceleration, redemption or otherwise, and interest on the overdue principal of and interest on the Notes, if any, if lawful, and all other Obligations of the Issuer to the Holders or the Trustee hereunder or under the Notes shall be promptly paid in full, all in accordance with the terms hereof and thereof; and (b) in case of any extension of time of payment or renewal of any Notes or any of such other obligations, that same shall be promptly paid in full when due in accordance with the terms of the extension or renewal, whether at stated maturity, by acceleration or otherwise. Failing payment when due of any amount so guaranteed for whatever reason, the Guarantors shall be jointly and severally obligated to pay the same promptly. Each Guarantor agrees that this is a guarantee of payment and not a guarantee of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Guarantors hereby agree that their obligations hereunder shall be unconditional, irrespective of the validity, regularity or enforceability of the Notes or this Indenture, the absence of any action to enforce the same, any waiver or consent by any Holder with respect to any provisions hereof or thereof, the recovery of any judgment against the Issuer, any action to enforce the same or any other circumstance which might otherwise constitute a legal or equitable discharge or defense of a guarantor (other than payment in full of all of the Obligations of the Issuer hereunder or under the Notes). Each Guarantor hereby waives, to the fullest extent permitted by law, diligence, presentment, demand of payment, filing of claims with a court in the event of insolvency or bankruptcy of the Issuer, any right to require a proceeding first against the Issuer, protest, notice and all demands whatsoever and covenants that this Guarantee shall not be discharged except by full payment of the obligations contained in the Notes and this Indenture or by release in accordance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also agrees to pay any and all reasonable out-of-pocket costs and expenses (including reasonable attorneys’ fees) incurred by the Trustee or any Holder in enforcing any rights under this Section 10.01.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Holder or the Trustee is required by any court or otherwise to return to the Issuer, the Guarantors or any custodian, trustee, liquidator or other similar official acting in relation to either the Issuer or the Guarantors, then any amount paid either to the Trustee or such Holder, this Guarantee, to the extent theretofore discharged, shall be reinstated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(x) the maturity of the obligations guaranteed hereby may be accelerated as provided in Article 6 hereof for the purposes of this Guarantee, and (y) in the event of any declaration of acceleration of such obligations as provided in Article 6 hereof, such obligations (whether or not due and payable) shall forthwith become due and payable by the Guarantors for the purpose of this Guarantee. The Guarantors shall have the right to seek contribution from any nonpaying Guarantor so long as the exercise of such right does not impair the rights of the Holders under the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terminated in accordance with Section 10.06, each Guarantee shall remain in full force and effect and continue to be effective should any petition be filed by or against the Issuer for liquidation,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of the Notes are, pursuant to applicable law, rescinded or reduced in amount, or must otherwise be restored or returned by any obligee on the Notes or Guarantees, whether as a “voidable preference,” “fraudulent transfer” or otherwise, all as though such payment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of any Guarantee shall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Guarantee issued by any Guarantor shall be a general unsecured senior obligation of such Guarantor and shall be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right of payment with all existing and future Senior Indebtedness of such Guarantor,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payment to be made by a Guarantor in respect of its Guarantee shall be made without set-off, counterclaim, reduction or diminution of any kind or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10.02.      </w:t>
      </w:r>
      <w:r>
        <w:rPr>
          <w:rFonts w:ascii="Times New Roman;Times;Serif" w:hAnsi="Times New Roman;Times;Serif"/>
          <w:b w:val="false"/>
          <w:i/>
          <w:caps w:val="false"/>
          <w:smallCaps w:val="false"/>
          <w:sz w:val="20"/>
        </w:rPr>
        <w:t>Limitation on Guarantor Liability</w:t>
      </w:r>
      <w:r>
        <w:rPr>
          <w:rFonts w:ascii="Times New Roman;Times;Serif" w:hAnsi="Times New Roman;Times;Serif"/>
          <w:b w:val="false"/>
          <w:i w:val="false"/>
          <w:caps w:val="false"/>
          <w:smallCaps w:val="false"/>
          <w:sz w:val="20"/>
        </w:rPr>
        <w:t>. Each Guarantor,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conveyance or fraudulent transfer under applicable law or being void or voidable under any law relating to insolvency of debtors.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10.03.      </w:t>
      </w:r>
      <w:r>
        <w:rPr>
          <w:rFonts w:ascii="Times New Roman;Times;Serif" w:hAnsi="Times New Roman;Times;Serif"/>
          <w:b w:val="false"/>
          <w:i/>
          <w:caps w:val="false"/>
          <w:smallCaps w:val="false"/>
          <w:sz w:val="20"/>
        </w:rPr>
        <w:t>Execution and Delivery</w:t>
      </w:r>
      <w:r>
        <w:rPr>
          <w:rFonts w:ascii="Times New Roman;Times;Serif" w:hAnsi="Times New Roman;Times;Serif"/>
          <w:b w:val="false"/>
          <w:i w:val="false"/>
          <w:caps w:val="false"/>
          <w:smallCaps w:val="false"/>
          <w:sz w:val="20"/>
        </w:rPr>
        <w:t>. To evidence its Guarantee set forth in Section 10.01 hereof, each Guarantor hereby agrees that this Indenture (or a supplemental indenture in the form of Exhibit D) shall be executed on behalf of such Guarantor by one of its authorized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hereby agrees that its Guarantee set forth in Section 10.01 hereof shall remain in full force and effect notwithstanding the absence of the endorsement of any notation of such Guarantee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this Indenture (or a supplemental indenture in the form of Exhibit D) no longer holds that office at the time the Trustee authenticates a Note, the Guarantee of such Guarantor shall be valid nevertheless.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delivery of any Note by the Trustee, after the authentication thereof hereunder, shall constitute due delivery of the Guarantee set forth in this Indenture on behalf of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by Section 4.15 hereof, Parent shall cause any newly created or acquired Restricted Subsidiary to comply with the provisions of Section 4.15 hereof and this Article 10, to the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10.04.      </w:t>
      </w:r>
      <w:r>
        <w:rPr>
          <w:rFonts w:ascii="Times New Roman;Times;Serif" w:hAnsi="Times New Roman;Times;Serif"/>
          <w:b w:val="false"/>
          <w:i/>
          <w:caps w:val="false"/>
          <w:smallCaps w:val="false"/>
          <w:sz w:val="20"/>
        </w:rPr>
        <w:t>Subrogation</w:t>
      </w:r>
      <w:r>
        <w:rPr>
          <w:rFonts w:ascii="Times New Roman;Times;Serif" w:hAnsi="Times New Roman;Times;Serif"/>
          <w:b w:val="false"/>
          <w:i w:val="false"/>
          <w:caps w:val="false"/>
          <w:smallCaps w:val="false"/>
          <w:sz w:val="20"/>
        </w:rPr>
        <w:t xml:space="preserve">. Each Guarantor shall be subrogated to all rights of Holders against the Issuer in respect of any amounts paid by any Guarantor pursuant to the provisions of Section 10.01 hereof;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an Event of Default has occurred and is continuing, no Guarantor shall be entitled to enforce or receive any payments arising out of, or based upon, such right of subrogation until all amounts then due and payable by the Issuer under this Indenture or the Notes shall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10.05.      </w:t>
      </w:r>
      <w:r>
        <w:rPr>
          <w:rFonts w:ascii="Times New Roman;Times;Serif" w:hAnsi="Times New Roman;Times;Serif"/>
          <w:b w:val="false"/>
          <w:i/>
          <w:caps w:val="false"/>
          <w:smallCaps w:val="false"/>
          <w:sz w:val="20"/>
        </w:rPr>
        <w:t>Benefits Acknowledged</w:t>
      </w:r>
      <w:r>
        <w:rPr>
          <w:rFonts w:ascii="Times New Roman;Times;Serif" w:hAnsi="Times New Roman;Times;Serif"/>
          <w:b w:val="false"/>
          <w:i w:val="false"/>
          <w:caps w:val="false"/>
          <w:smallCaps w:val="false"/>
          <w:sz w:val="20"/>
        </w:rPr>
        <w:t>. Each Guarantor acknowledges that it will receive direct and indirect benefits from the financing arrangements contemplated by this Indenture and that the guarantee and waivers made by it pursuant to its Guarantee are knowingly made in contemplation of such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10.06.      </w:t>
      </w:r>
      <w:r>
        <w:rPr>
          <w:rFonts w:ascii="Times New Roman;Times;Serif" w:hAnsi="Times New Roman;Times;Serif"/>
          <w:b w:val="false"/>
          <w:i/>
          <w:caps w:val="false"/>
          <w:smallCaps w:val="false"/>
          <w:sz w:val="20"/>
        </w:rPr>
        <w:t>Release of Guarantees</w:t>
      </w:r>
      <w:r>
        <w:rPr>
          <w:rFonts w:ascii="Times New Roman;Times;Serif" w:hAnsi="Times New Roman;Times;Serif"/>
          <w:b w:val="false"/>
          <w:i w:val="false"/>
          <w:caps w:val="false"/>
          <w:smallCaps w:val="false"/>
          <w:sz w:val="20"/>
        </w:rPr>
        <w:t>. Each Guarantee by a Guarantor (other than the Guarantee by Parent except pursuant to clause (vi) below) shall be automatically and unconditionally released and discharged and shall thereupon terminate and be of no further force and effect, and no further action by such Guarantor, the Issuer or the Trustee is required for the release of such Guarantor’s Guarantee,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any sale, exchange, disposition or transfer (by merger, amalgamation, consolidation or otherwise) of (x) the Capital Stock of such Guarantor after which the applicable Guarantor is no longer a Restricted Subsidiary or (y) all of the assets of such Guarantor or (B) consummation of any other transaction following which such Guarantor is no longer a Restricted Subsidiary, in each case if such sale, exchange, disposition, transfer or other transaction is made in compliance with the applicable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release or discharge of the guarantee by such Guarantor of Indebtedness under the Senior Secured Credit Facilities, or the release or discharge of such other guarantee that resulted in the creation of such Guarantee, except a discharge or release by or as a result of payment under such guarantee (it being understood that a release subject to a contingent reinstatement is considered a release, and that if any such Guarantee is so reinstated, such Guarantee shall also be reinstated to the extent that such Guarantor would then be required to provide a Guarantee pursuant to Section 4.15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designation of any Restricted Subsidiary that is a Guarantor as an Unrestricted Subsidiary in compliance with the applicable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the extent that such Guarantor becomes an Immaterial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upon the achievement of Investment Grade Ratings from both Rating Agencies;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Guarantee shall be reinstated upon the Reversion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exercise by the Issuer of its Legal Defeasance option or Covenant Defeasance option in accordance with Article 8 hereof or the discharge of the Issuer’s obligations under this Indenture in accordance with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11</w:t>
      </w:r>
      <w:r>
        <w:rPr>
          <w:rFonts w:ascii="Times New Roman;Times;Serif" w:hAnsi="Times New Roman;Times;Serif"/>
          <w:b w:val="false"/>
          <w:i w:val="false"/>
          <w:smallCaps/>
          <w:sz w:val="20"/>
        </w:rPr>
        <w:b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11.01.      </w:t>
      </w:r>
      <w:r>
        <w:rPr>
          <w:rFonts w:ascii="Times New Roman;Times;Serif" w:hAnsi="Times New Roman;Times;Serif"/>
          <w:b w:val="false"/>
          <w:i/>
          <w:caps w:val="false"/>
          <w:smallCaps w:val="false"/>
          <w:sz w:val="20"/>
        </w:rPr>
        <w:t>Satisfaction and Discharge</w:t>
      </w:r>
      <w:r>
        <w:rPr>
          <w:rFonts w:ascii="Times New Roman;Times;Serif" w:hAnsi="Times New Roman;Times;Serif"/>
          <w:b w:val="false"/>
          <w:i w:val="false"/>
          <w:caps w:val="false"/>
          <w:smallCaps w:val="false"/>
          <w:sz w:val="20"/>
        </w:rPr>
        <w:t>. This Indenture shall be discharged and shall cease to be of further effect as to all Notes, when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Notes theretofore authenticated and delivered, except lost, stolen or destroyed Notes which have been replaced or paid and Notes for whose payment money has heretofore been deposited in trust, have been delivered to the Trustee for cancellation;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all Notes not theretofore delivered to the Trustee for cancellation have become due and payable by reason of the making of a notice of redemption or otherwise, will become due and payable within one year or are to be called for redemption within one year under arrangements satisfactory to the Trustee for the giving of notice of redemption by the Trustee in the name, and at the expense, of the Issuer, and the Issuer or any Guarantor has irrevocably deposited or caused to be deposited with the Trustee as trust funds in trust solely for the benefit of the Holders, cash in U.S. dollars, U.S. dollar-denominated U.S. Government Securities, or a combination thereof, in such amounts as will be sufficient without consideration of any reinvestment of interest to pay and discharge the entire indebtedness on the Notes not theretofore delivered to the Trustee for cancellation for principal, premium, if any, and accrued interest to the date of maturity or redemption; (ii) [reserved]; (iii) the Issuer has paid or caused to be paid all sums then payable by it under this Indenture; and (iv) the Issuer has delivered irrevocable instructions to the Trustee to apply the deposited money toward the payment of the Notes at maturity or the Redemption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Issuer must deliver an Officer’s Certificate and an Opinion of Counsel to the Trustee stating that all conditions precedent to satisfaction and discharge have been satisfied. Such Opinion of Counsel may rely on such Officer’s Certificate as to matters of fact, including clauses (b)(i), (ii), (iii) and (iv)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if money shall have been deposited with the Trustee pursuant to subclause (i) of clause (b) of this Section 11.01, the provisions of Section 11.02 and Section 8.06 hereof shall survive such 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11.02.      </w:t>
      </w:r>
      <w:r>
        <w:rPr>
          <w:rFonts w:ascii="Times New Roman;Times;Serif" w:hAnsi="Times New Roman;Times;Serif"/>
          <w:b w:val="false"/>
          <w:i/>
          <w:caps w:val="false"/>
          <w:smallCaps w:val="false"/>
          <w:sz w:val="20"/>
        </w:rPr>
        <w:t>Application of Trust Money</w:t>
      </w:r>
      <w:r>
        <w:rPr>
          <w:rFonts w:ascii="Times New Roman;Times;Serif" w:hAnsi="Times New Roman;Times;Serif"/>
          <w:b w:val="false"/>
          <w:i w:val="false"/>
          <w:caps w:val="false"/>
          <w:smallCaps w:val="false"/>
          <w:sz w:val="20"/>
        </w:rPr>
        <w:t>. Subject to the provisions of Section 8.06 hereof, all money deposited with the Trustee pursuant to Section 11.01 hereof shall be held in trust and applied by it, in accordance with the provisions of the Notes and this Indenture, to the payment, either directly or through any Paying Agent (including the Issuer or a Guarantor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or Paying Agent is unable to apply any money or U.S. Government Securities in accordance with Section 11.01 hereof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Section 11.01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the Issuer has made any payment of principal of, premium, if any, or interest on any Notes because of the reinstatement of its obligations, the Issuer shall be subrogated to the rights of the Holders to receive such payment from the money or U.S. Government Securities held by the Trustee or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12</w:t>
      </w:r>
      <w:r>
        <w:rPr>
          <w:rFonts w:ascii="Times New Roman;Times;Serif" w:hAnsi="Times New Roman;Times;Serif"/>
          <w:b w:val="false"/>
          <w:i w:val="false"/>
          <w:smallCaps/>
          <w:sz w:val="20"/>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12.01.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12.02.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Any notice or communication by the Issuer, any Guarantor or the Trustee to the others is duly given if in writing and delivered in person, sent by electronic mail or mailed by first-class mail (registered or certified, return receipt requested), facsimile, electronic mail or other electronic transmission or overnight air courier guaranteeing next day delivery, to the others’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Issuer and/or any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Prestige Brands, Inc.</w:t>
        <w:br/>
        <w:t>660 White Plains Road</w:t>
        <w:br/>
        <w:t>Tarrytown, New York 10591</w:t>
        <w:br/>
        <w:t>Facsimile: (914) 524-6812</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Ronald M. Lombardi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 (which shall not constitute notice):</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Prestige Brands,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 White Plains Road</w:t>
        <w:br/>
        <w:t>Tarrytown, New York 10591</w:t>
        <w:br/>
        <w:t>Facsimile: (914) 524-7488</w:t>
        <w:br/>
        <w:t>Attention: William P’Pool</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Alston &amp; Bird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 West Peachtree Street</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30309</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(404) 881-7777</w:t>
        <w:br/>
        <w:t>Attention: Sarah E. Ernst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br/>
        <w:t> Global Corporate Trust Services EP-MN-WS3C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Livingston Avenue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Paul, Minnesota 55107-1419</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(651) 466-7430</w:t>
        <w:br/>
        <w:t>Attention:  Corporate Trust Administrator for Prestige Brands, Inc.</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brandon.bonfig@usbank.com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any Guarantor or the Trustee, by notice to the others, may designate additional or different addresses for subsequent notices or communications. Notices given by electronic mail shall not be effective unless, by notice to the others, electronic addresses are so designated for subsequent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to Holders of Notes will be validly given if electronically delivered or mailed to them at their respective addresses in the register of the Holders of the Notes, if any, maintained by the Registrar. For so long as any Notes are represented by global notes, all notices to Holders of the Notes will be delivered to DTC in accordance with the applicable procedures of DTC, delivery of which shall be deemed to satisfy the requirements of this paragraph, which will give such notices to the Holders of book-entry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such notice shall be deemed to have been given on the date of such publication or, if published more than once on different dates, on the first date on which publication is made;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notices are mailed, such notice shall be deemed to have been given on the earlier of such publication and the fifth day after being so mailed. Any notice or communication mailed to a Holder shall be mailed to such Person by first-class mail or other equivalent means and shall be sufficiently given to such Holder if so mailed within the time prescribed. Failure to electronically deliver or mail a notice or communication to a Holder or any defect in it shall not affect its sufficiency with respect to other Holders. If a notice or communication is mailed or electronically delivered in the manner provided above, it is duly given, whether or not the addressee receives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is sent or otherwise delivered in the manner provided above within the time prescribed, such notice or communication shall be deemed duly given, whether or not the addressee receives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delivers or sends a notice or communication to Holders, it shall deliver or send a copy to the Trustee and each Agent at the same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or any Note, where this Indenture or any Note provides for notice of any event or any other communication (including any notice of redemption or repurchase) to a holder of a Global Note (whether by mail or otherwise), such notice shall be sufficiently given if given to the Depositary (or its designee) pursuant to the standing instructions from the Depositary or its designee, including by electronic mail in accordance with accepted practices at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12.03.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12.04.      </w:t>
      </w:r>
      <w:r>
        <w:rPr>
          <w:rFonts w:ascii="Times New Roman;Times;Serif" w:hAnsi="Times New Roman;Times;Serif"/>
          <w:b w:val="false"/>
          <w:i/>
          <w:caps w:val="false"/>
          <w:smallCaps w:val="false"/>
          <w:sz w:val="20"/>
        </w:rPr>
        <w:t>Certificate and Opinion as to Conditions Precedent</w:t>
      </w:r>
      <w:r>
        <w:rPr>
          <w:rFonts w:ascii="Times New Roman;Times;Serif" w:hAnsi="Times New Roman;Times;Serif"/>
          <w:b w:val="false"/>
          <w:i w:val="false"/>
          <w:caps w:val="false"/>
          <w:smallCaps w:val="false"/>
          <w:sz w:val="20"/>
        </w:rPr>
        <w:t>. Upon any request or application by the Issuer or any of the Guarantors to the Trustee to take any action under this Indenture, the Issuer or such Guarantor, as the case may be, shall furnish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Officer’s Certificate in form reasonably satisfactory to the Trustee (which shall include the statements set forth in Section 12.05 hereof) stating that, in the opinion of the signers, all conditions precedent and covenants, if any, provided for in this Indenture relating to the proposed action have been satisfied;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Opinion of Counsel in form reasonably satisfactory to the Trustee (which shall include the statements set forth in Section 12.05 hereof) stating that, in the opinion of such counsel, all such conditions precedent and covenants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12.05.      </w:t>
      </w:r>
      <w:r>
        <w:rPr>
          <w:rFonts w:ascii="Times New Roman;Times;Serif" w:hAnsi="Times New Roman;Times;Serif"/>
          <w:b w:val="false"/>
          <w:i/>
          <w:caps w:val="false"/>
          <w:smallCaps w:val="false"/>
          <w:sz w:val="20"/>
        </w:rPr>
        <w:t>Statements Required in Certificate or Opinion</w:t>
      </w:r>
      <w:r>
        <w:rPr>
          <w:rFonts w:ascii="Times New Roman;Times;Serif" w:hAnsi="Times New Roman;Times;Serif"/>
          <w:b w:val="false"/>
          <w:i w:val="false"/>
          <w:caps w:val="false"/>
          <w:smallCaps w:val="false"/>
          <w:sz w:val="20"/>
        </w:rPr>
        <w:t>. Each certificate or opinion with respect to compliance with a condition or covenant provided for in this Indenture (other than a certificate provided pursuant to Section 4.04 hereof)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the Person making such certificate or opinion has read such covenant or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statements or opinions contained in such certificate or opinion are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such Person, he or she has made such examination or investigation as is necessary to enable him to express an informed opinion as to whether or not such covenant or condition has been complied with (and, in the case of an Opinion of Counsel, may be limited to reliance on an Officer’s Certificate as to matters of fact);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 statement as to whether or not, in the opinion of such Person, such condition or covenant has been complied with;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 respect to matters of fact an Opinion of Counsel may rely on an Officer’s Certificate or certificates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12.06.      </w:t>
      </w:r>
      <w:r>
        <w:rPr>
          <w:rFonts w:ascii="Times New Roman;Times;Serif" w:hAnsi="Times New Roman;Times;Serif"/>
          <w:b w:val="false"/>
          <w:i/>
          <w:caps w:val="false"/>
          <w:smallCaps w:val="false"/>
          <w:sz w:val="20"/>
        </w:rPr>
        <w:t>Rules by Trustee and Agents</w:t>
      </w:r>
      <w:r>
        <w:rPr>
          <w:rFonts w:ascii="Times New Roman;Times;Serif" w:hAnsi="Times New Roman;Times;Serif"/>
          <w:b w:val="false"/>
          <w:i w:val="false"/>
          <w:caps w:val="false"/>
          <w:smallCaps w:val="false"/>
          <w:sz w:val="20"/>
        </w:rPr>
        <w:t>. The Trustee may make reasonable rules for action by or at a meeting of Holders. The Registrar or Paying Agent may make reasonable rules and set reasonable requirements for its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12.07.      </w:t>
      </w:r>
      <w:r>
        <w:rPr>
          <w:rFonts w:ascii="Times New Roman;Times;Serif" w:hAnsi="Times New Roman;Times;Serif"/>
          <w:b w:val="false"/>
          <w:i/>
          <w:caps w:val="false"/>
          <w:smallCaps w:val="false"/>
          <w:sz w:val="20"/>
        </w:rPr>
        <w:t>No Personal Liability of Directors, Officers, Employees and Stockholders</w:t>
      </w:r>
      <w:r>
        <w:rPr>
          <w:rFonts w:ascii="Times New Roman;Times;Serif" w:hAnsi="Times New Roman;Times;Serif"/>
          <w:b w:val="false"/>
          <w:i w:val="false"/>
          <w:caps w:val="false"/>
          <w:smallCaps w:val="false"/>
          <w:sz w:val="20"/>
        </w:rPr>
        <w:t>. No past, present or future director, officer, employee, incorporator, member, partner or stockholder of the Issuer or any Guarantor shall have any liability for any obligations of the Issuer or the Guarantors under the Notes, the Guarantees or this Indenture or any supplemental indenture or for any claim based on, in respect of, or by reason of such obligations or their creation. Each Holder by accepting Notes waives and releases all such liability. The waiver and release are part of the consideration for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12.08.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THIS INDENTURE, THE NOTES AND ANY GUARANTEE, AND THE RIGHTS AND DUTIES OF THE PARTIES THEREUNDER, WILL BE GOVERNED BY AND CONSTRUED IN ACCORDANCE WITH THE LAWS OF THE STATE OF NEW YORK WITHOUT REGARD TO CONFLICTS OF LAW PRINCIPLES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12.09.      </w:t>
      </w:r>
      <w:r>
        <w:rPr>
          <w:rFonts w:ascii="Times New Roman;Times;Serif" w:hAnsi="Times New Roman;Times;Serif"/>
          <w:b w:val="false"/>
          <w:i/>
          <w:caps w:val="false"/>
          <w:smallCaps w:val="false"/>
          <w:sz w:val="20"/>
        </w:rPr>
        <w:t>Jurisdiction</w:t>
      </w:r>
      <w:r>
        <w:rPr>
          <w:rFonts w:ascii="Times New Roman;Times;Serif" w:hAnsi="Times New Roman;Times;Serif"/>
          <w:b w:val="false"/>
          <w:i w:val="false"/>
          <w:caps w:val="false"/>
          <w:smallCaps w:val="false"/>
          <w:sz w:val="20"/>
        </w:rPr>
        <w:t>. The Issuer and the Guarantors agree that any suit, action or proceeding against the Issuer or any Guarantor brought by any Holder or the Trustee arising out of or based upon this Indenture, the Guarantees or the Notes may be instituted in any state or Federal court in the Borough of Manhattan, New York, New York, and any appellate court from any thereof, and each of them irrevocably submits to the non-exclusive jurisdiction of such courts in any suit, action or proceeding. The Issuer and the Guarantors irrevocably waive, to the fullest extent permitted by law, any objection to any suit, action, or proceeding that may be brought in connection with this Indenture, the Guarantees or the Notes, including such actions, suits or proceedings relating to securities laws of the United States of America or any state thereof, in such courts whether on the grounds of venue, residence or domicile or on the ground that any such suit, action or proceeding has been brought in an inconvenient forum. The Issuer and the Guarantors agree that final judgment in any such suit, action or proceeding brought in such court shall be conclusive and binding upon the Issuer or the Guarantors, as the case may be, and may be enforced in any court to the jurisdiction of which the Issuer or the Guarantors, as the case may be, are subject by a suit upon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12.10.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EACH OF THE ISSUER, THE GUARANTORS, THE TRUSTEE AND EACH HOLDER OF NOTES BY ITS ACCEPTANCE OF SUCH NOTES (1) AGREE TO SUBMIT TO THE NON-EXCLUSIVE JURISDICTION OF ANY UNITED STATES FEDERAL OR STATE COURT LOCATED IN THE BOROUGH OF MANHATTAN, IN THE CITY OF NEW YORK IN ANY ACTION OR PROCEEDING ARISING OUT OF OR RELATING TO THIS INDENTURE OR THE NOTES AND (2) HEREBY IRREVOCABLY WAIVES, TO THE FULLEST EXTENT PERMITTED BY APPLICABLE LAW, ANY AND ALL RIGHT TO TRIAL BY JURY IN ANY ACTION, PROCEEDING, CLAIM OR COUNTERCLAIM BROUGHT BY OR ON BEHALF OF ANY PARTY ARISING OUT OF OR RELATING TO THIS INDENTURE, THE NOTES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12.11.      </w:t>
      </w:r>
      <w:r>
        <w:rPr>
          <w:rFonts w:ascii="Times New Roman;Times;Serif" w:hAnsi="Times New Roman;Times;Serif"/>
          <w:b w:val="false"/>
          <w:i/>
          <w:caps w:val="false"/>
          <w:smallCaps w:val="false"/>
          <w:sz w:val="20"/>
        </w:rPr>
        <w:t>Force Majeure</w:t>
      </w:r>
      <w:r>
        <w:rPr>
          <w:rFonts w:ascii="Times New Roman;Times;Serif" w:hAnsi="Times New Roman;Times;Serif"/>
          <w:b w:val="false"/>
          <w:i w:val="false"/>
          <w:caps w:val="false"/>
          <w:smallCaps w:val="false"/>
          <w:sz w:val="20"/>
        </w:rPr>
        <w:t>. In no event shall the Trustee be responsible or liable for any failure or delay in the performance of its obligations under this Indenture arising out of or caused by, directly or indirectly, forces beyond its reasonable control, including without limitation strikes, work stoppages, accidents, epidemics, pandemics, acts of war or terrorism, civil or military disturbances, nuclear or natural catastrophes or acts of God, and interruptions, loss or malfunctions of utilities, communications or computer (software or hardware) services and the unavailability of the Federal Reserve Bank wire or telex or other wire or communication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12.12.      </w:t>
      </w:r>
      <w:r>
        <w:rPr>
          <w:rFonts w:ascii="Times New Roman;Times;Serif" w:hAnsi="Times New Roman;Times;Serif"/>
          <w:b w:val="false"/>
          <w:i/>
          <w:caps w:val="false"/>
          <w:smallCaps w:val="false"/>
          <w:sz w:val="20"/>
        </w:rPr>
        <w:t>No Adverse Interpretation of Other Agreements</w:t>
      </w:r>
      <w:r>
        <w:rPr>
          <w:rFonts w:ascii="Times New Roman;Times;Serif" w:hAnsi="Times New Roman;Times;Serif"/>
          <w:b w:val="false"/>
          <w:i w:val="false"/>
          <w:caps w:val="false"/>
          <w:smallCaps w:val="false"/>
          <w:sz w:val="20"/>
        </w:rPr>
        <w:t>. This Indenture may not be used to interpret any other indenture, loan or debt agreement of the Issuer or its Restricted Subsidiaries or of any other Person. Any such indenture, loan or debt agreement may not be used to interpret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12.13.      </w:t>
      </w:r>
      <w:r>
        <w:rPr>
          <w:rFonts w:ascii="Times New Roman;Times;Serif" w:hAnsi="Times New Roman;Times;Serif"/>
          <w:b w:val="false"/>
          <w:i/>
          <w:caps w:val="false"/>
          <w:smallCaps w:val="false"/>
          <w:sz w:val="20"/>
        </w:rPr>
        <w:t>Successors</w:t>
      </w:r>
      <w:r>
        <w:rPr>
          <w:rFonts w:ascii="Times New Roman;Times;Serif" w:hAnsi="Times New Roman;Times;Serif"/>
          <w:b w:val="false"/>
          <w:i w:val="false"/>
          <w:caps w:val="false"/>
          <w:smallCaps w:val="false"/>
          <w:sz w:val="20"/>
        </w:rPr>
        <w:t>. All agreements of the Issuer in this Indenture and the Notes shall bind its successors. All agreements of the Trustee in this Indenture shall bind its successors. All agreements of each Guarantor in this Indenture shall bind its successors, except as otherwise provided in Section 10.06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12.14.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In case any provision in this Indenture or in the Notes shall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12.15.      </w:t>
      </w:r>
      <w:r>
        <w:rPr>
          <w:rFonts w:ascii="Times New Roman;Times;Serif" w:hAnsi="Times New Roman;Times;Serif"/>
          <w:b w:val="false"/>
          <w:i/>
          <w:caps w:val="false"/>
          <w:smallCaps w:val="false"/>
          <w:sz w:val="20"/>
        </w:rPr>
        <w:t>Counterpart Originals</w:t>
      </w:r>
      <w:r>
        <w:rPr>
          <w:rFonts w:ascii="Times New Roman;Times;Serif" w:hAnsi="Times New Roman;Times;Serif"/>
          <w:b w:val="false"/>
          <w:i w:val="false"/>
          <w:caps w:val="false"/>
          <w:smallCaps w:val="false"/>
          <w:sz w:val="20"/>
        </w:rPr>
        <w:t>. The parties may sign any number of copies of this Indenture. Each signed copy shall be an original, but all of them together represent the same agreement. This Indenture may be executed in multiple counterparts which, when taken together, shall constitute one instrument. The exchange of copies of this Indenture and of signature pages by facsimile or PDF transmissions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The words “delivery,” “execute,” “execution,” “signed,” “signature,” and words of like import in this Indenture or in any other document executed in connection herewith shall be deemed to include electronic signatures, the electronic matching of assignment terms and contract formations on electronic platforms approved by the Initial Purchasers,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12.16.      </w:t>
      </w:r>
      <w:r>
        <w:rPr>
          <w:rFonts w:ascii="Times New Roman;Times;Serif" w:hAnsi="Times New Roman;Times;Serif"/>
          <w:b w:val="false"/>
          <w:i/>
          <w:caps w:val="false"/>
          <w:smallCaps w:val="false"/>
          <w:sz w:val="20"/>
        </w:rPr>
        <w:t>Table of Contents, Headings, etc.</w:t>
      </w:r>
      <w:r>
        <w:rPr>
          <w:rFonts w:ascii="Times New Roman;Times;Serif" w:hAnsi="Times New Roman;Times;Serif"/>
          <w:b w:val="false"/>
          <w:i w:val="false"/>
          <w:caps w:val="false"/>
          <w:smallCaps w:val="false"/>
          <w:sz w:val="20"/>
        </w:rPr>
        <w:t xml:space="preserve"> 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12.17.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12.18.      </w:t>
      </w:r>
      <w:r>
        <w:rPr>
          <w:rFonts w:ascii="Times New Roman;Times;Serif" w:hAnsi="Times New Roman;Times;Serif"/>
          <w:b w:val="false"/>
          <w:i/>
          <w:caps w:val="false"/>
          <w:smallCaps w:val="false"/>
          <w:sz w:val="20"/>
        </w:rPr>
        <w:t>Patriot Act</w:t>
      </w:r>
      <w:r>
        <w:rPr>
          <w:rFonts w:ascii="Times New Roman;Times;Serif" w:hAnsi="Times New Roman;Times;Serif"/>
          <w:b w:val="false"/>
          <w:i w:val="false"/>
          <w:caps w:val="false"/>
          <w:smallCaps w:val="false"/>
          <w:sz w:val="20"/>
        </w:rPr>
        <w:t>. The parties hereto acknowledge that in accordance with Section 326 of the U.S.A. Patriot Act (the “</w:t>
      </w:r>
      <w:r>
        <w:rPr>
          <w:rFonts w:ascii="Times New Roman;Times;Serif" w:hAnsi="Times New Roman;Times;Serif"/>
          <w:b/>
          <w:i w:val="false"/>
          <w:caps w:val="false"/>
          <w:smallCaps w:val="false"/>
          <w:sz w:val="20"/>
        </w:rPr>
        <w:t>Patriot Act</w:t>
      </w:r>
      <w:r>
        <w:rPr>
          <w:rFonts w:ascii="Times New Roman;Times;Serif" w:hAnsi="Times New Roman;Times;Serif"/>
          <w:b w:val="false"/>
          <w:i w:val="false"/>
          <w:caps w:val="false"/>
          <w:smallCaps w:val="false"/>
          <w:sz w:val="20"/>
        </w:rPr>
        <w: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shall provide the Trustee with such information as it may request in order for the Trustee to satisfy the requirements of the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12.19.      </w:t>
      </w:r>
      <w:r>
        <w:rPr>
          <w:rFonts w:ascii="Times New Roman;Times;Serif" w:hAnsi="Times New Roman;Times;Serif"/>
          <w:b w:val="false"/>
          <w:i/>
          <w:caps w:val="false"/>
          <w:smallCaps w:val="false"/>
          <w:sz w:val="20"/>
        </w:rPr>
        <w:t>Waiver of Immunities</w:t>
      </w:r>
      <w:r>
        <w:rPr>
          <w:rFonts w:ascii="Times New Roman;Times;Serif" w:hAnsi="Times New Roman;Times;Serif"/>
          <w:b w:val="false"/>
          <w:i w:val="false"/>
          <w:caps w:val="false"/>
          <w:smallCaps w:val="false"/>
          <w:sz w:val="20"/>
        </w:rPr>
        <w:t>. To the extent either Issuer or any Guarantor or any of its properties, assets or revenues may have or may hereafter become entitled to, or have attributed to them, any right of immunity, on the grounds of sovereignty, from any legal action, suit or proceeding, from set-off or counterclaim, from the jurisdiction of any court, from service of process, from attachment upon or prior to judgment, or from attachment in aid of execution of judgment, or from execution of judgment, or other legal process or proceeding for the giving of any relief or for the enforcement of any judgment, in any jurisdiction in which proceedings may at any time be commenced, with respect to their obligations, liabilities or any other matter under or arising out of or in connection with this Indenture, the Notes or the Note Guarantees, each Issuer and each Guarantor hereby irrevocably and unconditionally, to the extent permitted by applicable law, waives and agrees not to plead or claim any such immunity and consents to such relief and enforcement.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12.20.      </w:t>
      </w:r>
      <w:r>
        <w:rPr>
          <w:rFonts w:ascii="Times New Roman;Times;Serif" w:hAnsi="Times New Roman;Times;Serif"/>
          <w:b w:val="false"/>
          <w:i/>
          <w:caps w:val="false"/>
          <w:smallCaps w:val="false"/>
          <w:sz w:val="20"/>
        </w:rPr>
        <w:t>Certain Compliance Determinations</w:t>
      </w:r>
      <w:r>
        <w:rPr>
          <w:rFonts w:ascii="Times New Roman;Times;Serif" w:hAnsi="Times New Roman;Times;Serif"/>
          <w:b w:val="false"/>
          <w:i w:val="false"/>
          <w:caps w:val="false"/>
          <w:smallCaps w:val="false"/>
          <w:sz w:val="20"/>
        </w:rPr>
        <w:t>. Notwithstanding anything in this Indenture to the contrary, with respect to any amounts incurred or transactions entered into (or consummated) in reliance on a provision of this Indenture (including any covenant) that does not require compliance with a financial ratio or test (including, without limitation, the Consolidated Leverage Ratio, the Consolidated Secured Debt Ratio and/or the Fixed Charge Coverage Ratio) (any such amounts, the “Fixed Amounts”) substantially concurrently with any amounts incurred or transactions entered into (or consummated) in reliance on a provision of this Indenture that requires compliance with a financial ratio or test (including, without limitation, the Consolidated Leverage Ratio, the Consolidated Secured Debt Ratio, and/or the Fixed Charge Coverage Ratio) (any such amounts, the “Incurrence Based Amounts”), it is understood and agreed that the Fixed Amounts shall be disregarded in the calculation of the financial ratio or test applicable to the Incurrence Based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Signatures on following page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175" w:type="dxa"/>
        <w:jc w:val="left"/>
        <w:tblInd w:w="0" w:type="dxa"/>
        <w:tblLayout w:type="fixed"/>
        <w:tblCellMar>
          <w:top w:w="0" w:type="dxa"/>
          <w:left w:w="0" w:type="dxa"/>
          <w:bottom w:w="0" w:type="dxa"/>
          <w:right w:w="0" w:type="dxa"/>
        </w:tblCellMar>
      </w:tblPr>
      <w:tblGrid>
        <w:gridCol w:w="75"/>
        <w:gridCol w:w="320"/>
        <w:gridCol w:w="590"/>
        <w:gridCol w:w="4190"/>
      </w:tblGrid>
      <w:tr>
        <w:trPr/>
        <w:tc>
          <w:tcPr>
            <w:tcW w:w="75" w:type="dxa"/>
            <w:tcBorders/>
            <w:vAlign w:val="center"/>
          </w:tcPr>
          <w:p>
            <w:pPr>
              <w:pStyle w:val="TableContents"/>
              <w:bidi w:val="0"/>
              <w:spacing w:before="0" w:after="283"/>
              <w:jc w:val="left"/>
              <w:rPr/>
            </w:pPr>
            <w:r>
              <w:rPr/>
              <w:t> </w:t>
            </w:r>
          </w:p>
        </w:tc>
        <w:tc>
          <w:tcPr>
            <w:tcW w:w="5100" w:type="dxa"/>
            <w:gridSpan w:val="3"/>
            <w:tcBorders/>
            <w:vAlign w:val="center"/>
          </w:tcPr>
          <w:p>
            <w:pPr>
              <w:pStyle w:val="TableContents"/>
              <w:bidi w:val="0"/>
              <w:spacing w:before="0" w:after="283"/>
              <w:jc w:val="left"/>
              <w:rPr>
                <w:b/>
                <w:caps/>
                <w:sz w:val="20"/>
              </w:rPr>
            </w:pPr>
            <w:r>
              <w:rPr>
                <w:b/>
                <w:caps/>
                <w:sz w:val="20"/>
              </w:rPr>
              <w:t>PRESTIGE CONSUMER HEALTHCARE INC.</w:t>
            </w:r>
          </w:p>
        </w:tc>
      </w:tr>
      <w:tr>
        <w:trPr/>
        <w:tc>
          <w:tcPr>
            <w:tcW w:w="75"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20"/>
              </w:rPr>
            </w:pPr>
            <w:r>
              <w:rPr>
                <w:sz w:val="20"/>
              </w:rPr>
              <w:t>By:</w:t>
            </w:r>
          </w:p>
        </w:tc>
        <w:tc>
          <w:tcPr>
            <w:tcW w:w="4780" w:type="dxa"/>
            <w:gridSpan w:val="2"/>
            <w:tcBorders>
              <w:bottom w:val="single" w:sz="8" w:space="0" w:color="000000"/>
            </w:tcBorders>
            <w:tcMar>
              <w:bottom w:w="28" w:type="dxa"/>
            </w:tcMar>
            <w:vAlign w:val="center"/>
          </w:tcPr>
          <w:p>
            <w:pPr>
              <w:pStyle w:val="TableContents"/>
              <w:bidi w:val="0"/>
              <w:spacing w:before="0" w:after="283"/>
              <w:jc w:val="left"/>
              <w:rPr/>
            </w:pPr>
            <w:r>
              <w:rPr/>
              <w:t> </w:t>
            </w:r>
            <w:r>
              <w:rPr>
                <w:sz w:val="20"/>
              </w:rPr>
              <w:t>/s/ Christine Sacco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4190" w:type="dxa"/>
            <w:tcBorders/>
            <w:vAlign w:val="center"/>
          </w:tcPr>
          <w:p>
            <w:pPr>
              <w:pStyle w:val="TableContents"/>
              <w:bidi w:val="0"/>
              <w:spacing w:before="0" w:after="283"/>
              <w:jc w:val="left"/>
              <w:rPr>
                <w:sz w:val="20"/>
              </w:rPr>
            </w:pPr>
            <w:r>
              <w:rPr>
                <w:sz w:val="20"/>
              </w:rPr>
              <w:t>Christine Sacco</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4190" w:type="dxa"/>
            <w:tcBorders/>
            <w:vAlign w:val="center"/>
          </w:tcPr>
          <w:p>
            <w:pPr>
              <w:pStyle w:val="TableContents"/>
              <w:bidi w:val="0"/>
              <w:spacing w:before="0" w:after="283"/>
              <w:jc w:val="left"/>
              <w:rPr>
                <w:sz w:val="20"/>
              </w:rPr>
            </w:pPr>
            <w:r>
              <w:rPr>
                <w:sz w:val="20"/>
              </w:rPr>
              <w:t>Chief Financial Officer and Chief Operating Officer</w:t>
            </w:r>
          </w:p>
        </w:tc>
      </w:tr>
    </w:tbl>
    <w:p>
      <w:pPr>
        <w:pStyle w:val="TextBody"/>
        <w:bidi w:val="0"/>
        <w:spacing w:before="0" w:after="0"/>
        <w:ind w:left="0" w:right="0" w:hanging="0"/>
        <w:jc w:val="left"/>
        <w:rPr>
          <w:caps w:val="false"/>
          <w:smallCaps w:val="false"/>
        </w:rPr>
      </w:pPr>
      <w:r>
        <w:rPr>
          <w:caps w:val="false"/>
          <w:smallCaps w:val="false"/>
        </w:rPr>
        <w:t> </w:t>
      </w:r>
    </w:p>
    <w:tbl>
      <w:tblPr>
        <w:tblW w:w="5175" w:type="dxa"/>
        <w:jc w:val="left"/>
        <w:tblInd w:w="0" w:type="dxa"/>
        <w:tblLayout w:type="fixed"/>
        <w:tblCellMar>
          <w:top w:w="0" w:type="dxa"/>
          <w:left w:w="0" w:type="dxa"/>
          <w:bottom w:w="0" w:type="dxa"/>
          <w:right w:w="0" w:type="dxa"/>
        </w:tblCellMar>
      </w:tblPr>
      <w:tblGrid>
        <w:gridCol w:w="75"/>
        <w:gridCol w:w="320"/>
        <w:gridCol w:w="590"/>
        <w:gridCol w:w="4190"/>
      </w:tblGrid>
      <w:tr>
        <w:trPr/>
        <w:tc>
          <w:tcPr>
            <w:tcW w:w="75" w:type="dxa"/>
            <w:tcBorders/>
            <w:vAlign w:val="center"/>
          </w:tcPr>
          <w:p>
            <w:pPr>
              <w:pStyle w:val="TableContents"/>
              <w:bidi w:val="0"/>
              <w:spacing w:before="0" w:after="283"/>
              <w:jc w:val="left"/>
              <w:rPr/>
            </w:pPr>
            <w:r>
              <w:rPr/>
              <w:t> </w:t>
            </w:r>
          </w:p>
        </w:tc>
        <w:tc>
          <w:tcPr>
            <w:tcW w:w="5100" w:type="dxa"/>
            <w:gridSpan w:val="3"/>
            <w:tcBorders/>
            <w:vAlign w:val="center"/>
          </w:tcPr>
          <w:p>
            <w:pPr>
              <w:pStyle w:val="TableContents"/>
              <w:bidi w:val="0"/>
              <w:spacing w:before="0" w:after="283"/>
              <w:jc w:val="left"/>
              <w:rPr>
                <w:b/>
                <w:caps/>
                <w:sz w:val="20"/>
              </w:rPr>
            </w:pPr>
            <w:r>
              <w:rPr>
                <w:b/>
                <w:caps/>
                <w:sz w:val="20"/>
              </w:rPr>
              <w:t>PRESTIGE BRANDS, INC.</w:t>
            </w:r>
          </w:p>
        </w:tc>
      </w:tr>
      <w:tr>
        <w:trPr/>
        <w:tc>
          <w:tcPr>
            <w:tcW w:w="75"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20"/>
              </w:rPr>
            </w:pPr>
            <w:r>
              <w:rPr>
                <w:sz w:val="20"/>
              </w:rPr>
              <w:t>By:</w:t>
            </w:r>
          </w:p>
        </w:tc>
        <w:tc>
          <w:tcPr>
            <w:tcW w:w="4780" w:type="dxa"/>
            <w:gridSpan w:val="2"/>
            <w:tcBorders>
              <w:bottom w:val="single" w:sz="8" w:space="0" w:color="000000"/>
            </w:tcBorders>
            <w:tcMar>
              <w:bottom w:w="28" w:type="dxa"/>
            </w:tcMar>
            <w:vAlign w:val="center"/>
          </w:tcPr>
          <w:p>
            <w:pPr>
              <w:pStyle w:val="TableContents"/>
              <w:bidi w:val="0"/>
              <w:spacing w:before="0" w:after="283"/>
              <w:jc w:val="left"/>
              <w:rPr/>
            </w:pPr>
            <w:r>
              <w:rPr/>
              <w:t> </w:t>
            </w:r>
            <w:r>
              <w:rPr>
                <w:sz w:val="20"/>
              </w:rPr>
              <w:t>/s/ Christine Sacco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4190" w:type="dxa"/>
            <w:tcBorders/>
            <w:vAlign w:val="center"/>
          </w:tcPr>
          <w:p>
            <w:pPr>
              <w:pStyle w:val="TableContents"/>
              <w:bidi w:val="0"/>
              <w:spacing w:before="0" w:after="283"/>
              <w:jc w:val="left"/>
              <w:rPr>
                <w:sz w:val="20"/>
              </w:rPr>
            </w:pPr>
            <w:r>
              <w:rPr>
                <w:sz w:val="20"/>
              </w:rPr>
              <w:t>Christine Sacco</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4190" w:type="dxa"/>
            <w:tcBorders/>
            <w:vAlign w:val="center"/>
          </w:tcPr>
          <w:p>
            <w:pPr>
              <w:pStyle w:val="TableContents"/>
              <w:bidi w:val="0"/>
              <w:spacing w:before="0" w:after="283"/>
              <w:jc w:val="left"/>
              <w:rPr>
                <w:sz w:val="20"/>
              </w:rPr>
            </w:pPr>
            <w:r>
              <w:rPr>
                <w:sz w:val="20"/>
              </w:rPr>
              <w:t>Chief Financial Officer and Chief Operating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Indenture]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05" w:type="dxa"/>
        <w:jc w:val="left"/>
        <w:tblInd w:w="0" w:type="dxa"/>
        <w:tblLayout w:type="fixed"/>
        <w:tblCellMar>
          <w:top w:w="0" w:type="dxa"/>
          <w:left w:w="0" w:type="dxa"/>
          <w:bottom w:w="0" w:type="dxa"/>
          <w:right w:w="0" w:type="dxa"/>
        </w:tblCellMar>
      </w:tblPr>
      <w:tblGrid>
        <w:gridCol w:w="75"/>
        <w:gridCol w:w="4730"/>
      </w:tblGrid>
      <w:tr>
        <w:trPr/>
        <w:tc>
          <w:tcPr>
            <w:tcW w:w="75" w:type="dxa"/>
            <w:tcBorders/>
            <w:vAlign w:val="center"/>
          </w:tcPr>
          <w:p>
            <w:pPr>
              <w:pStyle w:val="TableContents"/>
              <w:bidi w:val="0"/>
              <w:spacing w:before="0" w:after="283"/>
              <w:jc w:val="left"/>
              <w:rPr>
                <w:sz w:val="4"/>
                <w:szCs w:val="4"/>
              </w:rPr>
            </w:pPr>
            <w:r>
              <w:rPr>
                <w:sz w:val="4"/>
                <w:szCs w:val="4"/>
              </w:rPr>
            </w:r>
          </w:p>
        </w:tc>
        <w:tc>
          <w:tcPr>
            <w:tcW w:w="4730" w:type="dxa"/>
            <w:tcBorders/>
            <w:vAlign w:val="center"/>
          </w:tcPr>
          <w:p>
            <w:pPr>
              <w:pStyle w:val="TableContents"/>
              <w:bidi w:val="0"/>
              <w:spacing w:before="0" w:after="283"/>
              <w:jc w:val="left"/>
              <w:rPr>
                <w:b/>
                <w:sz w:val="20"/>
              </w:rPr>
            </w:pPr>
            <w:r>
              <w:rPr>
                <w:b/>
                <w:sz w:val="20"/>
              </w:rPr>
              <w:t>Guarantors:</w:t>
            </w:r>
          </w:p>
        </w:tc>
      </w:tr>
      <w:tr>
        <w:trPr/>
        <w:tc>
          <w:tcPr>
            <w:tcW w:w="7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Blacksmith Brands, Inc.</w:t>
            </w:r>
          </w:p>
        </w:tc>
      </w:tr>
      <w:tr>
        <w:trPr/>
        <w:tc>
          <w:tcPr>
            <w:tcW w:w="7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C.B. Fleet Investment Corporation</w:t>
            </w:r>
          </w:p>
        </w:tc>
      </w:tr>
      <w:tr>
        <w:trPr/>
        <w:tc>
          <w:tcPr>
            <w:tcW w:w="7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DenTek Holdings, Inc.</w:t>
            </w:r>
          </w:p>
        </w:tc>
      </w:tr>
      <w:tr>
        <w:trPr/>
        <w:tc>
          <w:tcPr>
            <w:tcW w:w="7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Insight Pharmaceuticals Corporation</w:t>
            </w:r>
          </w:p>
        </w:tc>
      </w:tr>
      <w:tr>
        <w:trPr/>
        <w:tc>
          <w:tcPr>
            <w:tcW w:w="7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Insight Pharmaceuticals LLC</w:t>
            </w:r>
          </w:p>
        </w:tc>
      </w:tr>
      <w:tr>
        <w:trPr/>
        <w:tc>
          <w:tcPr>
            <w:tcW w:w="7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Medtech Holdings, Inc.</w:t>
            </w:r>
          </w:p>
        </w:tc>
      </w:tr>
      <w:tr>
        <w:trPr/>
        <w:tc>
          <w:tcPr>
            <w:tcW w:w="7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Medtech Online, Inc.</w:t>
            </w:r>
          </w:p>
        </w:tc>
      </w:tr>
      <w:tr>
        <w:trPr/>
        <w:tc>
          <w:tcPr>
            <w:tcW w:w="7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Medtech Products Inc.</w:t>
            </w:r>
          </w:p>
        </w:tc>
      </w:tr>
      <w:tr>
        <w:trPr/>
        <w:tc>
          <w:tcPr>
            <w:tcW w:w="7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Prestige Services Corp.</w:t>
            </w:r>
          </w:p>
        </w:tc>
      </w:tr>
      <w:tr>
        <w:trPr/>
        <w:tc>
          <w:tcPr>
            <w:tcW w:w="7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Medtech Personal Products Corporation</w:t>
            </w:r>
          </w:p>
        </w:tc>
      </w:tr>
      <w:tr>
        <w:trPr/>
        <w:tc>
          <w:tcPr>
            <w:tcW w:w="7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DenTek Oral Care, Inc.</w:t>
            </w:r>
          </w:p>
        </w:tc>
      </w:tr>
      <w:tr>
        <w:trPr/>
        <w:tc>
          <w:tcPr>
            <w:tcW w:w="7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C. B. Fleet Company, Incorporated</w:t>
            </w:r>
          </w:p>
        </w:tc>
      </w:tr>
      <w:tr>
        <w:trPr/>
        <w:tc>
          <w:tcPr>
            <w:tcW w:w="7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C. B. Fleet, International, LLC</w:t>
            </w:r>
          </w:p>
        </w:tc>
      </w:tr>
      <w:tr>
        <w:trPr/>
        <w:tc>
          <w:tcPr>
            <w:tcW w:w="7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Peaks HBC Company, Inc.</w:t>
            </w:r>
          </w:p>
        </w:tc>
      </w:tr>
      <w:tr>
        <w:trPr/>
        <w:tc>
          <w:tcPr>
            <w:tcW w:w="7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Prestige brands holdings, inc.</w:t>
            </w:r>
          </w:p>
        </w:tc>
      </w:tr>
      <w:tr>
        <w:trPr/>
        <w:tc>
          <w:tcPr>
            <w:tcW w:w="7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Prestige Brands International, Inc</w:t>
            </w:r>
          </w:p>
        </w:tc>
      </w:tr>
    </w:tbl>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320"/>
        <w:gridCol w:w="590"/>
        <w:gridCol w:w="1550"/>
      </w:tblGrid>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20"/>
              </w:rPr>
            </w:pPr>
            <w:r>
              <w:rPr>
                <w:sz w:val="20"/>
              </w:rPr>
              <w:t>By:</w:t>
            </w:r>
          </w:p>
        </w:tc>
        <w:tc>
          <w:tcPr>
            <w:tcW w:w="2140" w:type="dxa"/>
            <w:gridSpan w:val="2"/>
            <w:tcBorders>
              <w:bottom w:val="single" w:sz="8" w:space="0" w:color="000000"/>
            </w:tcBorders>
            <w:tcMar>
              <w:bottom w:w="28" w:type="dxa"/>
            </w:tcMar>
            <w:vAlign w:val="center"/>
          </w:tcPr>
          <w:p>
            <w:pPr>
              <w:pStyle w:val="TableContents"/>
              <w:bidi w:val="0"/>
              <w:spacing w:before="0" w:after="283"/>
              <w:jc w:val="left"/>
              <w:rPr/>
            </w:pPr>
            <w:r>
              <w:rPr/>
              <w:t> </w:t>
            </w:r>
            <w:r>
              <w:rPr>
                <w:sz w:val="20"/>
              </w:rPr>
              <w:t>/s/ Christine Sacco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550" w:type="dxa"/>
            <w:tcBorders/>
            <w:vAlign w:val="center"/>
          </w:tcPr>
          <w:p>
            <w:pPr>
              <w:pStyle w:val="TableContents"/>
              <w:bidi w:val="0"/>
              <w:spacing w:before="0" w:after="283"/>
              <w:jc w:val="left"/>
              <w:rPr>
                <w:sz w:val="20"/>
              </w:rPr>
            </w:pPr>
            <w:r>
              <w:rPr>
                <w:sz w:val="20"/>
              </w:rPr>
              <w:t>Christine Sacco</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550" w:type="dxa"/>
            <w:tcBorders/>
            <w:vAlign w:val="center"/>
          </w:tcPr>
          <w:p>
            <w:pPr>
              <w:pStyle w:val="TableContents"/>
              <w:bidi w:val="0"/>
              <w:spacing w:before="0" w:after="283"/>
              <w:jc w:val="left"/>
              <w:rPr>
                <w:sz w:val="20"/>
              </w:rPr>
            </w:pPr>
            <w:r>
              <w:rPr>
                <w:sz w:val="20"/>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Indenture]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29" w:type="dxa"/>
        <w:jc w:val="left"/>
        <w:tblInd w:w="0" w:type="dxa"/>
        <w:tblLayout w:type="fixed"/>
        <w:tblCellMar>
          <w:top w:w="0" w:type="dxa"/>
          <w:left w:w="0" w:type="dxa"/>
          <w:bottom w:w="0" w:type="dxa"/>
          <w:right w:w="0" w:type="dxa"/>
        </w:tblCellMar>
      </w:tblPr>
      <w:tblGrid>
        <w:gridCol w:w="75"/>
        <w:gridCol w:w="817"/>
        <w:gridCol w:w="5337"/>
      </w:tblGrid>
      <w:tr>
        <w:trPr/>
        <w:tc>
          <w:tcPr>
            <w:tcW w:w="75" w:type="dxa"/>
            <w:tcBorders/>
            <w:vAlign w:val="center"/>
          </w:tcPr>
          <w:p>
            <w:pPr>
              <w:pStyle w:val="TableContents"/>
              <w:bidi w:val="0"/>
              <w:spacing w:before="0" w:after="283"/>
              <w:jc w:val="left"/>
              <w:rPr/>
            </w:pPr>
            <w:r>
              <w:rPr/>
              <w:t> </w:t>
            </w:r>
          </w:p>
        </w:tc>
        <w:tc>
          <w:tcPr>
            <w:tcW w:w="61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 as Trustee</w:t>
            </w:r>
          </w:p>
        </w:tc>
      </w:tr>
      <w:tr>
        <w:trPr/>
        <w:tc>
          <w:tcPr>
            <w:tcW w:w="75" w:type="dxa"/>
            <w:tcBorders/>
            <w:vAlign w:val="center"/>
          </w:tcPr>
          <w:p>
            <w:pPr>
              <w:pStyle w:val="TableContents"/>
              <w:bidi w:val="0"/>
              <w:spacing w:before="0" w:after="283"/>
              <w:jc w:val="left"/>
              <w:rPr/>
            </w:pPr>
            <w:r>
              <w:rPr/>
              <w:t> </w:t>
            </w:r>
          </w:p>
        </w:tc>
        <w:tc>
          <w:tcPr>
            <w:tcW w:w="61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33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 Brandon J. Bonfig</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caps w:val="false"/>
                <w:smallCaps w:val="false"/>
              </w:rPr>
            </w:pPr>
            <w:r>
              <w:rPr>
                <w:caps w:val="false"/>
                <w:smallCaps w:val="false"/>
              </w:rPr>
              <w:t> </w:t>
            </w:r>
          </w:p>
        </w:tc>
        <w:tc>
          <w:tcPr>
            <w:tcW w:w="53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Brandon J. Bonfig</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caps w:val="false"/>
                <w:smallCaps w:val="false"/>
              </w:rPr>
            </w:pPr>
            <w:r>
              <w:rPr>
                <w:caps w:val="false"/>
                <w:smallCaps w:val="false"/>
              </w:rPr>
              <w:t> </w:t>
            </w:r>
          </w:p>
        </w:tc>
        <w:tc>
          <w:tcPr>
            <w:tcW w:w="53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0"/>
        <w:ind w:left="5040" w:right="0" w:hanging="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Indenture]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the Global Note Legend, if applicable pursuant to the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the Private Placement Legend, if applicable pursuant to the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the Regulation S Temporary Global Note Legend, if applicable pursuant to the provisions of the Indenture]</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575"/>
        <w:gridCol w:w="3080"/>
      </w:tblGrid>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[74112B AN5] [U7410F AK8]</w:t>
            </w:r>
          </w:p>
        </w:tc>
      </w:tr>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[US74112BAN55] [USU7410FAK85]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144A][REGULATION S] [GLOBAL] NOTE</w:t>
        <w:br/>
        <w:t>representing</w:t>
        <w:br/>
        <w:t>$[            ]</w:t>
        <w:br/>
        <w:t>6.250% Senior Note due 2034</w:t>
      </w:r>
    </w:p>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1190"/>
        <w:gridCol w:w="1310"/>
      </w:tblGrid>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___                 </w:t>
            </w:r>
          </w:p>
        </w:tc>
        <w:tc>
          <w:tcPr>
            <w:tcW w:w="13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Prestige Brands, Inc., a Delaware corporation, promises to pay to__________ or registered assigns the principal sum [set forth on the Schedule of Exchanges of Interests in the Global Note attached hereto] [of _______________ United States Dollars] on July 15,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January 15 and July 15, commencing on January 15,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January 1 and July 1.</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HEREOF, the Issuer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2300" w:type="dxa"/>
        <w:jc w:val="left"/>
        <w:tblInd w:w="0" w:type="dxa"/>
        <w:tblLayout w:type="fixed"/>
        <w:tblCellMar>
          <w:top w:w="0" w:type="dxa"/>
          <w:left w:w="0" w:type="dxa"/>
          <w:bottom w:w="0" w:type="dxa"/>
          <w:right w:w="0" w:type="dxa"/>
        </w:tblCellMar>
      </w:tblPr>
      <w:tblGrid>
        <w:gridCol w:w="75"/>
        <w:gridCol w:w="22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PRESTIGE BRANDS, INC.</w:t>
            </w:r>
          </w:p>
        </w:tc>
      </w:tr>
    </w:tbl>
    <w:p>
      <w:pPr>
        <w:pStyle w:val="TextBody"/>
        <w:bidi w:val="0"/>
        <w:spacing w:before="0" w:after="0"/>
        <w:ind w:left="0" w:right="0" w:hanging="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75"/>
        <w:gridCol w:w="320"/>
        <w:gridCol w:w="56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59" w:type="dxa"/>
        <w:jc w:val="left"/>
        <w:tblInd w:w="0" w:type="dxa"/>
        <w:tblLayout w:type="fixed"/>
        <w:tblCellMar>
          <w:top w:w="0" w:type="dxa"/>
          <w:left w:w="0" w:type="dxa"/>
          <w:bottom w:w="0" w:type="dxa"/>
          <w:right w:w="0" w:type="dxa"/>
        </w:tblCellMar>
      </w:tblPr>
      <w:tblGrid>
        <w:gridCol w:w="75"/>
        <w:gridCol w:w="2009"/>
        <w:gridCol w:w="3875"/>
      </w:tblGrid>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 in the within-mentioned Indenture:</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09"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009"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2009"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r>
    </w:tbl>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 of Note]</w:t>
        <w:br/>
        <w:t>6.250% Senior Note due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shall have the meanings assigned to them in the Indenture referred to below unless otherwise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Interest</w:t>
      </w:r>
      <w:r>
        <w:rPr>
          <w:rFonts w:ascii="Times New Roman;Times;Serif" w:hAnsi="Times New Roman;Times;Serif"/>
          <w:b w:val="false"/>
          <w:i w:val="false"/>
          <w:caps w:val="false"/>
          <w:smallCaps w:val="false"/>
          <w:sz w:val="20"/>
        </w:rPr>
        <w:t>. Prestige Brands, Inc., a Delaware corporation, promises to pay interest on the principal amount of this Note at a rate per annum of 6.250% from July 15, 2026 until maturity. The Issuer will pay interest on this Note semi-annually in arrears on January 15 and July 15 of each year, beginning January 15, 2027, or, if any such day is not a Business Day, on the next succeeding Business Day (each, an “</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The Issuer will make each interest payment to the Holder of record of this Note on the immediately preceding January 1 and July 1 (each, a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Interest on this Note will accrue from the most recent date to which interest has been paid or, if no interest has been paid, from and including July 15, 2026. The Issuer will pay interest on overdue principal and premium, if any, from time to time on demand at the rate borne by this Note; it shall pay interest on overdue installments of interest (without regard to any applicable grace periods) from time to time on demand at the rate borne by this Note. Interest will be computed on the basis of a 360-day year comprised of twelve 30-day months. Each interest period will end on (but not include) the relevant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Method of Payment</w:t>
      </w:r>
      <w:r>
        <w:rPr>
          <w:rFonts w:ascii="Times New Roman;Times;Serif" w:hAnsi="Times New Roman;Times;Serif"/>
          <w:b w:val="false"/>
          <w:i w:val="false"/>
          <w:caps w:val="false"/>
          <w:smallCaps w:val="false"/>
          <w:sz w:val="20"/>
        </w:rPr>
        <w:t xml:space="preserve">. The Issuer will pay interest on this Note to the Person who is the registered Holder of this Note at the close of business on the Record Date (whether or not a Business Day) next preceding the Interest Payment Date, even if this Note is cancelled after such Record Date and on or before such Interest Payment Date, except as provided in Section 2.12 of the Indenture with respect to defaulted interest. Cash payments of principal of, premium, if any, and interest on the Notes will be payable at the office or agency of the Issuer maintained for such purpose pursuant to Section 4.02 of the Indenture or, at the option of the Issuer, cash payment of interest may be made through the Paying Agent by check mailed to the Holders at their respective addresses set forth in the Note Register of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 all cash payments of principal, premium, if any, and interest with respect to the Notes represented by Global Notes registered in the name of or held by DTC or its nominee will be made through the Paying Agent by wire transfer of immediately available funds to the accounts specified by the registered Holder or Holders thereof and (b) all cash payments of principal, premium, if any, and interest with respect to certificated Notes will be made by wire transfer to a U.S. dollar account maintained by the payee with a bank in the United States if such Holder elects payment by wire transfer by giving written notice to the Trustee or the Paying Agent to such effect designating such account no later than 30 days immediately preceding the relevant due date for payment (or such other date as the Trustee may accept in its discretion). Such payment shall be in such coin or currency of the United States of America as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Paying Agent, Transfer Agent and Registrar</w:t>
      </w:r>
      <w:r>
        <w:rPr>
          <w:rFonts w:ascii="Times New Roman;Times;Serif" w:hAnsi="Times New Roman;Times;Serif"/>
          <w:b w:val="false"/>
          <w:i w:val="false"/>
          <w:caps w:val="false"/>
          <w:smallCaps w:val="false"/>
          <w:sz w:val="20"/>
        </w:rPr>
        <w:t>. Initially, U.S. Bank Trust Company, National Association, the Trustee under the Indenture, will act as Paying Agent, Transfer Agent and Registrar. The Issuer may change any Paying Agent, Transfer Agent or Registrar without prior notice to the Holders. The Issuer or any of its Subsidiaries may act in any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The Issuer issued the Notes under an Indenture, dated as of July 15, 2026 (as amended, supplemented or otherwise modified from time to time,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among Prestige Brands, Inc., the Guarantors from time to time party thereto and the Trustee. This Note is one of a duly authorized issue of notes of the Issuer designated as its 6.250% Senior Notes due 2034. The Issuer shall be entitled to issue Additional Notes pursuant to Sections 2.01 and 4.09 of the Indenture.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described below under clauses 5(b), 5(c) and 5(d) hereof and in Section 4.14(f) of the Indenture, the Notes will not be redeemable at the Issuer’s option prior to July 15, 2029.</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prior to July 15, 2029, the Issuer may on one or more occasions redeem all or a part of the Notes upon notice in accordance with Section 3.03 of the Indenture, at a redemption price equal to the sum of (i) 100.0% of the principal amount of the Notes redeemed, plus (ii) the Applicable Premium as of the date of redemption (the “</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plus (iii) accrued and unpaid interest, if any, to, but excluding the Redemption Date, subject to the right of Holders of record on the relevant Record Date to receive interest due on the relevant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and after July 15, 2029, the Issuer may redeem the Notes, in whole or in part, upon notice in accordance with Section 3.03 of the Indenture, at the redemption prices (expressed as percentages of principal amount of the Notes to be redeemed) set forth below, plus accrued and unpaid interest, if any, thereon to, but excluding, the applicable Redemption Date, subject to the right of Holders of record on the relevant Record Date to receive interest due on the relevant Interest Payment Date, if redeemed during the twelve-month period beginning on July 15 of each of the years indicated below:</w:t>
      </w:r>
    </w:p>
    <w:p>
      <w:pPr>
        <w:pStyle w:val="TextBody"/>
        <w:bidi w:val="0"/>
        <w:spacing w:before="0" w:after="0"/>
        <w:ind w:left="0" w:right="0" w:hanging="0"/>
        <w:jc w:val="left"/>
        <w:rPr>
          <w:caps w:val="false"/>
          <w:smallCaps w:val="false"/>
        </w:rPr>
      </w:pPr>
      <w:r>
        <w:rPr>
          <w:caps w:val="false"/>
          <w:smallCaps w:val="false"/>
        </w:rPr>
        <w:t> </w:t>
      </w:r>
    </w:p>
    <w:tbl>
      <w:tblPr>
        <w:tblW w:w="2835" w:type="dxa"/>
        <w:jc w:val="center"/>
        <w:tblInd w:w="0" w:type="dxa"/>
        <w:tblLayout w:type="fixed"/>
        <w:tblCellMar>
          <w:top w:w="0" w:type="dxa"/>
          <w:left w:w="0" w:type="dxa"/>
          <w:bottom w:w="28" w:type="dxa"/>
          <w:right w:w="0" w:type="dxa"/>
        </w:tblCellMar>
      </w:tblPr>
      <w:tblGrid>
        <w:gridCol w:w="1610"/>
        <w:gridCol w:w="60"/>
        <w:gridCol w:w="76"/>
        <w:gridCol w:w="889"/>
        <w:gridCol w:w="200"/>
      </w:tblGrid>
      <w:tr>
        <w:trPr/>
        <w:tc>
          <w:tcPr>
            <w:tcW w:w="16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103.125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101.563</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and thereafter</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Until July 15, 2029, the Issuer may, at its option, and on one or more occasions, redeem up to 40% of the aggregate principal amount of Notes issued under the Indenture at a redemption price equal to 106.250% of the aggregate principal amount thereof, plus accrued and unpaid interest, if any, to, but excluding, the Redemption Date, subject to the right of Holders of record on the relevant Record Date to receive interest due on the relevant Interest Payment Date, with the net cash proceeds received by it from one or more Equity Offerings or a contribution to the Issuer’s common equity capital made with the net cash proceeds of a concurrent Equity Offering;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 at least 40% of the aggregate principal amount of Notes originally issued under the Indenture on the Issue Date and any Additional Notes issued under the Indenture after the Issue Date remains outstanding immediately after the occurrence of each such redemption, unless all such Notes are redeemed substantially concurrently; and (B) each such redemption occurs within 180 days of the date of closing of each such Equity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redemption pursuant to this paragraph 5, the Issuer may at any time and from time to time purchase Notes in privately negotiated or open market transactions, tender offers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redemption pursuant to this paragraph 5 shall be made pursuant to the provisions of Sections 3.01 through 3.06 of the Indenture. Notice of any redemption, whether in connection with an Equity Offering, an incurrence of Indebtedness, a Change of Control or otherwise, may be given prior to the completion thereof, and any such redemption or notice may, at the Issuer’s discretion, be subject to one or more conditions precedent, including, but not limited to, completion of such corporate transaction. If such redemption or purchase is so subject to satisfaction of one or more conditions precedent, such notice shall describe each such condition, and if applicable, shall state that, in the Issuer’s discretion, the Redemption Date may be delayed until such time (including more than 60 days after the date the notice of redemption was mailed or delivered, including by electronic transmission)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 If any Notes are listed on an exchange, and the rules of such exchange so require, the Issuer shall notify the exchange of any such notice of redemption. In addition, the Issuer shall notify the exchange of the principal amount of any Notes outstanding following any partial redemption of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the optional Redemption Date is on or after a Record Date and on or before the related Interest Payment Date, the accrued and unpaid interest up to, but excluding, the Redemption Date will be paid on the Redemption Date to the Person in whose name the Note is registered at the close of business on such Record Date in accordance with the Applicable Procedures, and no additional interest will be payable to Holders whose Notes will be subject to redemption by the Issuer.</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Unless the Issuer defaults in the payment of the redemption price, interest will cease to accrue on the Notes or portions thereof called for redemption on the applicable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Mandatory Redemption</w:t>
      </w:r>
      <w:r>
        <w:rPr>
          <w:rFonts w:ascii="Times New Roman;Times;Serif" w:hAnsi="Times New Roman;Times;Serif"/>
          <w:b w:val="false"/>
          <w:i w:val="false"/>
          <w:caps w:val="false"/>
          <w:smallCaps w:val="false"/>
          <w:sz w:val="20"/>
        </w:rPr>
        <w:t>. The Issuer shall not be required to make any mandatory redemption or sinking fund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Notice of Redemption</w:t>
      </w:r>
      <w:r>
        <w:rPr>
          <w:rFonts w:ascii="Times New Roman;Times;Serif" w:hAnsi="Times New Roman;Times;Serif"/>
          <w:b w:val="false"/>
          <w:i w:val="false"/>
          <w:caps w:val="false"/>
          <w:smallCaps w:val="false"/>
          <w:sz w:val="20"/>
        </w:rPr>
        <w:t>. Subject to Section 3.03 of the Indenture, notice of redemption shall be delivered electronically or mailed by first-class mail, postage prepaid, at least 10 but not more than 60 days before the Redemption Date to each Holder whose Notes are to be redeemed at such Holder’s registered address or otherwise in accordance with the Applicable Procedures, except that redemption notices may be delivered electronically or mailed more than 60 days prior to a Redemption Date if the notice is issued in connection with Article 8 or Article 11 of the Indenture. No Notes of less than $2,000 and integral multiples of $1,000 in excess thereof may be redeemed or purchased in part, except that if all the Notes of a Holder are to be redeemed or purchased, the entire amount of Notes held by such Holder even if not in a principal amount of at least $2,000 or an integral multiple thereof, shall be redeemed or purchased. On and after the Redemption Date, interest ceases to accrue on this Note or portions thereof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caps w:val="false"/>
          <w:smallCaps w:val="false"/>
          <w:sz w:val="20"/>
        </w:rPr>
        <w:t>Offers to Repurchase</w:t>
      </w:r>
      <w:r>
        <w:rPr>
          <w:rFonts w:ascii="Times New Roman;Times;Serif" w:hAnsi="Times New Roman;Times;Serif"/>
          <w:b w:val="false"/>
          <w:i w:val="false"/>
          <w:caps w:val="false"/>
          <w:smallCaps w:val="false"/>
          <w:sz w:val="20"/>
        </w:rPr>
        <w:t>. Upon the occurrence of a Change of Control, unless a third party makes a Change of Control Offer or the Issuer has previously or substantially concurrently delivered a redemption notice with respect to all the outstanding Notes as described in Section 3.07 of the Indenture, the Issuer shall make a Change of Control Offer in accordance with Section 4.14 of the Indenture. In connection with certain Asset Sales, the Issuer shall make an Asset Sale Offer as and when provided in accordance with Sections 3.09 and 4.10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caps w:val="false"/>
          <w:smallCaps w:val="false"/>
          <w:sz w:val="20"/>
        </w:rPr>
        <w:t>Denominations, Transfer, Exchange</w:t>
      </w:r>
      <w:r>
        <w:rPr>
          <w:rFonts w:ascii="Times New Roman;Times;Serif" w:hAnsi="Times New Roman;Times;Serif"/>
          <w:b w:val="false"/>
          <w:i w:val="false"/>
          <w:caps w:val="false"/>
          <w:smallCaps w:val="false"/>
          <w:sz w:val="20"/>
        </w:rPr>
        <w:t xml:space="preserve">. The Notes are in registered form without coupons in denominations of $2,000 and any integral multiple of $1,000 in excess of $2,000. The transfer of Notes shall be registered and Notes may only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of any Note or portion of a Note selected for redemption, except for the unredeemed portion of any Note being redeemed in part;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new Notes will only be issued in denominations of $2,000 and integral multiples of $1,000 in excess of $2,000. Also, the Issuer need not exchange or register the transfer of any Notes for a period of 15 days before the mailing of a notice of redemption of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caps w:val="false"/>
          <w:smallCaps w:val="false"/>
          <w:sz w:val="20"/>
        </w:rPr>
        <w:t>Persons Deemed Owners</w:t>
      </w:r>
      <w:r>
        <w:rPr>
          <w:rFonts w:ascii="Times New Roman;Times;Serif" w:hAnsi="Times New Roman;Times;Serif"/>
          <w:b w:val="false"/>
          <w:i w:val="false"/>
          <w:caps w:val="false"/>
          <w:smallCaps w:val="false"/>
          <w:sz w:val="20"/>
        </w:rPr>
        <w:t>. The registered Holder of a Note shall be treated as its owner for all purposes. Only registered Holders shall have rights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caps w:val="false"/>
          <w:smallCaps w:val="false"/>
          <w:sz w:val="20"/>
        </w:rPr>
        <w:t>Amendment, Supplement and Waiver</w:t>
      </w:r>
      <w:r>
        <w:rPr>
          <w:rFonts w:ascii="Times New Roman;Times;Serif" w:hAnsi="Times New Roman;Times;Serif"/>
          <w:b w:val="false"/>
          <w:i w:val="false"/>
          <w:caps w:val="false"/>
          <w:smallCaps w:val="false"/>
          <w:sz w:val="20"/>
        </w:rPr>
        <w:t>. The Indenture, the Guarantees or the Notes may be amended or supplemented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caps w:val="false"/>
          <w:smallCaps w:val="false"/>
          <w:sz w:val="20"/>
        </w:rPr>
        <w:t>Defaults and Remedies</w:t>
      </w:r>
      <w:r>
        <w:rPr>
          <w:rFonts w:ascii="Times New Roman;Times;Serif" w:hAnsi="Times New Roman;Times;Serif"/>
          <w:b w:val="false"/>
          <w:i w:val="false"/>
          <w:caps w:val="false"/>
          <w:smallCaps w:val="false"/>
          <w:sz w:val="20"/>
        </w:rPr>
        <w:t xml:space="preserve">. The Events of Default relating to the Notes are defined in Section 6.01 of the Indenture. If any Event of Default (other than an Event of Default of the type specified in clause (vi) or (vii) of Section 6.01(a) of the Indenture) occurs and is continuing under the Indenture, the Trustee or the Holders of at least 30% in principal amount of the then total outstanding Notes may, by notice to the Issuer and the Trustee, in either case specifying in such notice the respective Event of Default and that such notice is a “notice of acceleration,” declare the principal, premium, if any, interest and any other monetary obligations on all the then outstanding Notes to be due and payable immediately. Notwithstanding the foregoing, in the case of an Event of Default arising under clause (vi) or (vii) of Section 6.01(a) of the Indenture, all outstanding Notes will become due and payable without further action or notice. Holders may not enforce the Indenture, the Notes or the Guarantees except as provided in the Indenture. Subject to certain limitations, Holders of a majority in aggregate principal amount of the then outstanding Notes may direct the Trustee in its exercise of any trust or power. The Trustee may withhold from the Holders notice of any continuing Default, except a Default relating to the payment of principal, premium, if any, or interest, if it determines that withholding notice is in their interest. The Holders of a majority in aggregate principal amount of the Notes then outstanding by notice to the Trustee (with a copy to the Issuer,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waiver or rescission under Section 6.04 of the Indenture shall be valid and binding notwithstanding the failure to provide a copy of such notice to the Issuer) may on behalf of all the Holders waive any existing Default and its consequences under the Indenture (except a continuing Default in payment of the principal of, premium, if any, or interest on, any of the Notes held by a non-consenting Holder) (including in connection with an Asset Sale Offer or a Change of Control Offer) and rescind any acceleration with respect to the Notes and its consequences under the Indenture (except if such rescission would conflict with any judgment of a court of competent jurisdiction). The Issuer is required to deliver to the Trustee annually a statement regarding compliance with the Indenture, and the Issuer is required, within thirty days after any Officer of the Parent becomes aware of any Default, to deliver to the Trustee a statement specifying such Default and what action the Issuer proposes to take with respect thereto.</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caps w:val="false"/>
          <w:smallCaps w:val="false"/>
          <w:sz w:val="20"/>
        </w:rPr>
        <w:t>Authentication</w:t>
      </w:r>
      <w:r>
        <w:rPr>
          <w:rFonts w:ascii="Times New Roman;Times;Serif" w:hAnsi="Times New Roman;Times;Serif"/>
          <w:b w:val="false"/>
          <w:i w:val="false"/>
          <w:caps w:val="false"/>
          <w:smallCaps w:val="false"/>
          <w:sz w:val="20"/>
        </w:rPr>
        <w:t>. This Note shall not be entitled to any benefit under the Indenture or be valid or obligatory for any purpose until authenticated by the manual signature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THE INDENTURE, THIS NOTE AND ANY GUARANTEE, AND THE RIGHTS AND DUTIES OF THE PARTIES THEREUNDER, WILL BE GOVERNED BY AND CONSTRUED IN ACCORDANCE WITH THE LAWS OF THE STATE OF NEW YORK WITHOUT REGARD TO CONFLICTS OF LAW PRINCIPLES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caps w:val="false"/>
          <w:smallCaps w:val="false"/>
          <w:sz w:val="20"/>
        </w:rPr>
        <w:t>CUSIP Numbers and ISINs</w:t>
      </w:r>
      <w:r>
        <w:rPr>
          <w:rFonts w:ascii="Times New Roman;Times;Serif" w:hAnsi="Times New Roman;Times;Serif"/>
          <w:b w:val="false"/>
          <w:i w:val="false"/>
          <w:caps w:val="false"/>
          <w:smallCaps w:val="false"/>
          <w:sz w:val="20"/>
        </w:rPr>
        <w:t>. Pursuant to a recommendation promulgated by the Committee on Uniform Security Identification Procedures, the Issuer has caused CUSIP numbers and ISINs to be printed on the Notes and the Trustee may use CUSIP numbers and ISINs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furnish to any Holder upon written request and without charge a copy of the Indenture. Requests may be made to the Issuer at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Issuer and/or any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Prestige Brands, Inc.</w:t>
        <w:br/>
        <w:t>660 White Plains Road</w:t>
        <w:br/>
        <w:t>Tarrytown, New York 10591</w:t>
        <w:br/>
        <w:t>Facsimile: (914) 524-6812</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Ronald M. Lombardi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 (which shall not constitute notice):</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Prestige Brands, Inc.</w:t>
        <w:br/>
        <w:t>660 White Plains Road</w:t>
        <w:br/>
        <w:t>Tarrytown, New York 10591</w:t>
        <w:br/>
        <w:t>Facsimile: (914) 524-7488</w:t>
        <w:br/>
        <w:t>Attention: William P’Pool</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Alston &amp; Bird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 West Peachtree Street</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30309</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(404) 881-7777</w:t>
        <w:br/>
        <w:t>Attention: Sarah E. Ernst</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br/>
        <w:t>Global Corporate Trust Services EP-MN-WS3C</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Livingston Avenue</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Paul, Minnesota 55107-1419</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(651) 466-7430</w:t>
        <w:br/>
        <w:t>Attention:  Corporate Trust Administrator for Prestige Brands, Inc.</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brandon.bonfig@usbank.com</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hanging="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3410"/>
        <w:gridCol w:w="2405"/>
      </w:tblGrid>
      <w:tr>
        <w:trPr/>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Note to:</w:t>
            </w:r>
          </w:p>
        </w:tc>
        <w:tc>
          <w:tcPr>
            <w:tcW w:w="240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left"/>
              <w:rPr>
                <w:caps w:val="false"/>
                <w:smallCaps w:val="false"/>
              </w:rPr>
            </w:pPr>
            <w:r>
              <w:rPr>
                <w:caps w:val="false"/>
                <w:smallCaps w:val="false"/>
              </w:rPr>
              <w:t> </w:t>
            </w:r>
          </w:p>
        </w:tc>
        <w:tc>
          <w:tcPr>
            <w:tcW w:w="24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legal name)</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top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0" w:type="dxa"/>
        <w:tblLayout w:type="fixed"/>
        <w:tblCellMar>
          <w:top w:w="0" w:type="dxa"/>
          <w:left w:w="0" w:type="dxa"/>
          <w:bottom w:w="0" w:type="dxa"/>
          <w:right w:w="0" w:type="dxa"/>
        </w:tblCellMar>
      </w:tblPr>
      <w:tblGrid>
        <w:gridCol w:w="2015"/>
        <w:gridCol w:w="75"/>
      </w:tblGrid>
      <w:tr>
        <w:trPr/>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transfer this Note on the books of the Issuer.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6765" w:type="dxa"/>
        <w:jc w:val="left"/>
        <w:tblInd w:w="0" w:type="dxa"/>
        <w:tblLayout w:type="fixed"/>
        <w:tblCellMar>
          <w:top w:w="0" w:type="dxa"/>
          <w:left w:w="0" w:type="dxa"/>
          <w:bottom w:w="0" w:type="dxa"/>
          <w:right w:w="0" w:type="dxa"/>
        </w:tblCellMar>
      </w:tblPr>
      <w:tblGrid>
        <w:gridCol w:w="470"/>
        <w:gridCol w:w="60"/>
        <w:gridCol w:w="60"/>
        <w:gridCol w:w="1310"/>
        <w:gridCol w:w="4865"/>
      </w:tblGrid>
      <w:tr>
        <w:trPr/>
        <w:tc>
          <w:tcPr>
            <w:tcW w:w="470" w:type="dxa"/>
            <w:tcBorders/>
            <w:vAlign w:val="center"/>
          </w:tcPr>
          <w:p>
            <w:pPr>
              <w:pStyle w:val="TableContents"/>
              <w:bidi w:val="0"/>
              <w:spacing w:before="0" w:after="283"/>
              <w:jc w:val="left"/>
              <w:rPr>
                <w:sz w:val="20"/>
              </w:rPr>
            </w:pPr>
            <w:r>
              <w:rPr>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0" w:type="dxa"/>
            <w:gridSpan w:val="3"/>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20"/>
              </w:rPr>
            </w:pPr>
            <w:r>
              <w:rPr>
                <w:sz w:val="20"/>
              </w:rPr>
              <w:t>Your Signature:</w:t>
            </w:r>
          </w:p>
        </w:tc>
        <w:tc>
          <w:tcPr>
            <w:tcW w:w="48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 w:type="dxa"/>
            <w:gridSpan w:val="3"/>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tc>
      </w:tr>
    </w:tbl>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OF HOLDER TO ELECT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Note purchased by the Issuer pursuant to Section 4.10 or 4.14 of the Indenture, check the appropriate box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Section 4.10                                            [ ] Section 4.14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this Note purchased by the Issuer pursuant to Section 4.10 or Section 4.14 of the Indenture, state the amount you elect to have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ind w:left="0" w:right="0" w:hanging="0"/>
        <w:jc w:val="left"/>
        <w:rPr>
          <w:caps w:val="false"/>
          <w:smallCaps w:val="false"/>
        </w:rPr>
      </w:pPr>
      <w:r>
        <w:rPr>
          <w:caps w:val="false"/>
          <w:smallCaps w:val="false"/>
        </w:rPr>
        <w:t> </w:t>
      </w:r>
    </w:p>
    <w:tbl>
      <w:tblPr>
        <w:tblW w:w="6765" w:type="dxa"/>
        <w:jc w:val="left"/>
        <w:tblInd w:w="0" w:type="dxa"/>
        <w:tblLayout w:type="fixed"/>
        <w:tblCellMar>
          <w:top w:w="0" w:type="dxa"/>
          <w:left w:w="0" w:type="dxa"/>
          <w:bottom w:w="0" w:type="dxa"/>
          <w:right w:w="0" w:type="dxa"/>
        </w:tblCellMar>
      </w:tblPr>
      <w:tblGrid>
        <w:gridCol w:w="470"/>
        <w:gridCol w:w="60"/>
        <w:gridCol w:w="60"/>
        <w:gridCol w:w="1310"/>
        <w:gridCol w:w="4865"/>
      </w:tblGrid>
      <w:tr>
        <w:trPr/>
        <w:tc>
          <w:tcPr>
            <w:tcW w:w="470" w:type="dxa"/>
            <w:tcBorders/>
            <w:vAlign w:val="center"/>
          </w:tcPr>
          <w:p>
            <w:pPr>
              <w:pStyle w:val="TableContents"/>
              <w:bidi w:val="0"/>
              <w:spacing w:before="0" w:after="283"/>
              <w:jc w:val="left"/>
              <w:rPr>
                <w:sz w:val="20"/>
              </w:rPr>
            </w:pPr>
            <w:r>
              <w:rPr>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0" w:type="dxa"/>
            <w:gridSpan w:val="3"/>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20"/>
              </w:rPr>
            </w:pPr>
            <w:r>
              <w:rPr>
                <w:sz w:val="20"/>
              </w:rPr>
              <w:t>Your Signature:</w:t>
            </w:r>
          </w:p>
        </w:tc>
        <w:tc>
          <w:tcPr>
            <w:tcW w:w="48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 w:type="dxa"/>
            <w:gridSpan w:val="3"/>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tc>
      </w:tr>
    </w:tbl>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880"/>
        <w:gridCol w:w="75"/>
      </w:tblGrid>
      <w:tr>
        <w:trPr/>
        <w:tc>
          <w:tcPr>
            <w:tcW w:w="7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No.:</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850"/>
        <w:gridCol w:w="60"/>
        <w:gridCol w:w="75"/>
      </w:tblGrid>
      <w:tr>
        <w:trPr/>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Participant in a recognized Signature Guarantee Medallion Program (or other signature guarantor acceptable to the Trustee).</w:t>
      </w:r>
    </w:p>
    <w:p>
      <w:pPr>
        <w:pStyle w:val="TextBody"/>
        <w:bidi w:val="0"/>
        <w:spacing w:before="0" w:after="0"/>
        <w:ind w:left="0" w:right="0" w:hanging="0"/>
        <w:jc w:val="left"/>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EXCHANGES OF INTERESTS IN THE GLOBAL NOTE</w:t>
      </w:r>
      <w:r>
        <w:rPr>
          <w:rFonts w:ascii="Times New Roman;Times;Serif" w:hAnsi="Times New Roman;Times;Serif"/>
          <w:b w:val="false"/>
          <w:i w:val="false"/>
          <w:caps w:val="false"/>
          <w:smallCaps w:val="false"/>
          <w:position w:val="7"/>
          <w:sz w:val="16"/>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outstanding principal amount of this Global Note is $___________. The following exchanges of a part of this Global Note for an interest in another Global Note or for a Definitive Note, or exchanges of a part of another Global or Definitive Note for an interest in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4"/>
        <w:gridCol w:w="2023"/>
        <w:gridCol w:w="2014"/>
        <w:gridCol w:w="2364"/>
        <w:gridCol w:w="2770"/>
      </w:tblGrid>
      <w:tr>
        <w:trPr/>
        <w:tc>
          <w:tcPr>
            <w:tcW w:w="103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Exchange</w:t>
            </w:r>
          </w:p>
        </w:tc>
        <w:tc>
          <w:tcPr>
            <w:tcW w:w="2023"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decrease in Principal Amount of this Global Note</w:t>
            </w:r>
          </w:p>
        </w:tc>
        <w:tc>
          <w:tcPr>
            <w:tcW w:w="201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increase in Principal Amount of this Global Note</w:t>
            </w:r>
          </w:p>
        </w:tc>
        <w:tc>
          <w:tcPr>
            <w:tcW w:w="236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 of this Global Note following such decrease or increase</w:t>
            </w:r>
          </w:p>
        </w:tc>
        <w:tc>
          <w:tcPr>
            <w:tcW w:w="2770" w:type="dxa"/>
            <w:tcBorders/>
            <w:vAlign w:val="center"/>
          </w:tcPr>
          <w:p>
            <w:pPr>
              <w:pStyle w:val="TableContents"/>
              <w:pBdr>
                <w:bottom w:val="single" w:sz="4" w:space="1" w:color="000000"/>
              </w:pBdr>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signatory of Trustee or Custodian</w:t>
            </w:r>
          </w:p>
        </w:tc>
      </w:tr>
      <w:tr>
        <w:trPr/>
        <w:tc>
          <w:tcPr>
            <w:tcW w:w="1034" w:type="dxa"/>
            <w:tcBorders/>
            <w:vAlign w:val="center"/>
          </w:tcPr>
          <w:p>
            <w:pPr>
              <w:pStyle w:val="TableContents"/>
              <w:bidi w:val="0"/>
              <w:spacing w:before="0" w:after="283"/>
              <w:ind w:left="0" w:right="0" w:firstLine="720"/>
              <w:jc w:val="left"/>
              <w:rPr/>
            </w:pPr>
            <w:r>
              <w:rPr/>
              <w:t> </w:t>
            </w:r>
          </w:p>
        </w:tc>
        <w:tc>
          <w:tcPr>
            <w:tcW w:w="2023" w:type="dxa"/>
            <w:tcBorders/>
            <w:vAlign w:val="center"/>
          </w:tcPr>
          <w:p>
            <w:pPr>
              <w:pStyle w:val="TableContents"/>
              <w:bidi w:val="0"/>
              <w:spacing w:before="0" w:after="283"/>
              <w:ind w:left="0" w:right="0" w:firstLine="720"/>
              <w:jc w:val="left"/>
              <w:rPr/>
            </w:pPr>
            <w:r>
              <w:rPr/>
              <w:t> </w:t>
            </w:r>
          </w:p>
        </w:tc>
        <w:tc>
          <w:tcPr>
            <w:tcW w:w="2014" w:type="dxa"/>
            <w:tcBorders/>
            <w:vAlign w:val="center"/>
          </w:tcPr>
          <w:p>
            <w:pPr>
              <w:pStyle w:val="TableContents"/>
              <w:bidi w:val="0"/>
              <w:spacing w:before="0" w:after="283"/>
              <w:ind w:left="0" w:right="0" w:firstLine="720"/>
              <w:jc w:val="left"/>
              <w:rPr/>
            </w:pPr>
            <w:r>
              <w:rPr/>
              <w:t> </w:t>
            </w:r>
          </w:p>
        </w:tc>
        <w:tc>
          <w:tcPr>
            <w:tcW w:w="2364" w:type="dxa"/>
            <w:tcBorders/>
            <w:vAlign w:val="center"/>
          </w:tcPr>
          <w:p>
            <w:pPr>
              <w:pStyle w:val="TableContents"/>
              <w:bidi w:val="0"/>
              <w:spacing w:before="0" w:after="283"/>
              <w:ind w:left="0" w:right="0" w:firstLine="720"/>
              <w:jc w:val="left"/>
              <w:rPr/>
            </w:pPr>
            <w:r>
              <w:rPr/>
              <w:t> </w:t>
            </w:r>
          </w:p>
        </w:tc>
        <w:tc>
          <w:tcPr>
            <w:tcW w:w="27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This schedule should be included only if the Note is issued in global form.</w:t>
      </w:r>
    </w:p>
    <w:p>
      <w:pPr>
        <w:pStyle w:val="TextBody"/>
        <w:bidi w:val="0"/>
        <w:spacing w:before="0" w:after="0"/>
        <w:ind w:left="0" w:right="0" w:hanging="0"/>
        <w:jc w:val="left"/>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Issuer and/or any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Prestige Brands, Inc.</w:t>
        <w:br/>
        <w:t>660 White Plains Road</w:t>
        <w:br/>
        <w:t>Tarrytown, New York 10591</w:t>
        <w:br/>
        <w:t>Facsimile: (914) 524-6812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Ronald M. Lombardi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Prestige Brands,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 White Plains Road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Tarrytown, New York 10591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(914) 524-7488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William P’Pool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Alston &amp; Bird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 West Peachtree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30309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(404) 881-7777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Sarah E. Ernst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br/>
        <w:t>Global Corporate Trust Services EP-MN-WS3C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Livingston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Paul, Minnesota 55107-1419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(651) 466-7430</w:t>
        <w:br/>
        <w:t>Attention:  Corporate Trust Administrator for Prestige Brands,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brandon.bonfig@usbank.com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6.250% Senior Notes due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Indenture, dated as of July 15, 2026 (as amended, supplemented or otherwise modified from time to time,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among Prestige Brands, Inc., the Guarantors from time to time party thereto and the Trustee. Capitalized terms used but not defined herein shall have the meanings given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 (the “</w:t>
      </w:r>
      <w:r>
        <w:rPr>
          <w:rFonts w:ascii="Times New Roman;Times;Serif" w:hAnsi="Times New Roman;Times;Serif"/>
          <w:b/>
          <w:i w:val="false"/>
          <w:caps w:val="false"/>
          <w:smallCaps w:val="false"/>
          <w:sz w:val="20"/>
        </w:rPr>
        <w:t>Transferor</w:t>
      </w:r>
      <w:r>
        <w:rPr>
          <w:rFonts w:ascii="Times New Roman;Times;Serif" w:hAnsi="Times New Roman;Times;Serif"/>
          <w:b w:val="false"/>
          <w:i w:val="false"/>
          <w:caps w:val="false"/>
          <w:smallCaps w:val="false"/>
          <w:sz w:val="20"/>
        </w:rPr>
        <w:t>”) owns and proposes to transfer the Note[s] or interest in such Note[s] specified in Annex A hereto, in the principal amount of $_______________ in such Note[s] or interests (the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to (the “</w:t>
      </w:r>
      <w:r>
        <w:rPr>
          <w:rFonts w:ascii="Times New Roman;Times;Serif" w:hAnsi="Times New Roman;Times;Serif"/>
          <w:b/>
          <w:i w:val="false"/>
          <w:caps w:val="false"/>
          <w:smallCaps w:val="false"/>
          <w:sz w:val="20"/>
        </w:rPr>
        <w:t>Transferee</w:t>
      </w:r>
      <w:r>
        <w:rPr>
          <w:rFonts w:ascii="Times New Roman;Times;Serif" w:hAnsi="Times New Roman;Times;Serif"/>
          <w:b w:val="false"/>
          <w:i w:val="false"/>
          <w:caps w:val="false"/>
          <w:smallCaps w:val="false"/>
          <w:sz w:val="20"/>
        </w:rPr>
        <w:t>”), as further specified in Annex A hereto. In connection with the Transfer, the Transferor hereby certifies that: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ALL THAT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 ] CHECK IF TRANSFEREE WILL TAKE DELIVERY OF A BENEFICIAL INTEREST IN THE RELEVANT 144A GLOBAL NOTE OR RELEVANT DEFINITIVE NOTE PURSUANT TO RULE 144A. The Transfer is being effected pursuant to and in accordance with Rule 144A under the United States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reasonably believed to be a “qualified institutional buyer” within the meaning of Rule 144A in a transaction meeting the requirements of Rule 144A and such Transfer is in compliance with any applicable blue sky securities laws of any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 ] CHECK IF TRANSFEREE WILL TAKE DELIVERY OF A BENEFICIAL INTEREST IN THE RELEVANT REGULATION S GLOBAL NOTE OR RELEVANT DEFINITIVE NOTE PURSUANT TO REGULATION S. The Transfer is being effected pursuant to and in accordance with Rule 903 or Rule 904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(iii) the transaction is not part of a plan or scheme to evade the registration requirements of the Securities Act and (iv) if the proposed transfer is being made prior to the expiration of the applicable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Indenture and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 ] CHECK AND COMPLETE IF TRANSFEREE WILL TAKE DELIVERY OF A BENEFICIAL INTEREST IN THE RELEVANT DEFINITIVE NOTE PURSUANT TO ANY PROVISION OF THE SECURITIES ACT OTHER THAN RULE 144A OR REGULATION S.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 such Transfer is being effected pursuant to and in accordance with Rule 144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 such Transfer is being effected to the Issuer or a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 such Transfer is being effected pursuant to an effective registration statement under the Securities Act and in compliance with the prospectus delivery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 ] CHECK IF TRANSFEREE WILL TAKE DELIVERY OF A BENEFICIAL INTEREST IN AN UNRESTRICTED GLOBAL NOTE OR OF AN UNRESTRICTED DEFINITIVE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 CHECK IF TRANSFER IS PURSUANT TO RULE 144.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 CHECK IF TRANSFER IS PURSUANT TO REGULATION S. (i) The Transfer is being effected pursuant to and in accordance with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 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and the statements contained herein are made for your benefit and the benefit of the Issuer.</w:t>
      </w:r>
    </w:p>
    <w:p>
      <w:pPr>
        <w:pStyle w:val="TextBody"/>
        <w:bidi w:val="0"/>
        <w:spacing w:before="0" w:after="0"/>
        <w:ind w:left="0" w:right="0" w:hanging="0"/>
        <w:jc w:val="left"/>
        <w:rPr>
          <w:caps w:val="false"/>
          <w:smallCaps w:val="false"/>
        </w:rPr>
      </w:pPr>
      <w:r>
        <w:rPr>
          <w:caps w:val="false"/>
          <w:smallCaps w:val="false"/>
        </w:rPr>
        <w:t> </w:t>
      </w:r>
    </w:p>
    <w:tbl>
      <w:tblPr>
        <w:tblW w:w="2269" w:type="dxa"/>
        <w:jc w:val="left"/>
        <w:tblInd w:w="0" w:type="dxa"/>
        <w:tblLayout w:type="fixed"/>
        <w:tblCellMar>
          <w:top w:w="0" w:type="dxa"/>
          <w:left w:w="0" w:type="dxa"/>
          <w:bottom w:w="0" w:type="dxa"/>
          <w:right w:w="0" w:type="dxa"/>
        </w:tblCellMar>
      </w:tblPr>
      <w:tblGrid>
        <w:gridCol w:w="75"/>
        <w:gridCol w:w="798"/>
        <w:gridCol w:w="1396"/>
      </w:tblGrid>
      <w:tr>
        <w:trPr/>
        <w:tc>
          <w:tcPr>
            <w:tcW w:w="75" w:type="dxa"/>
            <w:tcBorders/>
            <w:vAlign w:val="center"/>
          </w:tcPr>
          <w:p>
            <w:pPr>
              <w:pStyle w:val="TableContents"/>
              <w:bidi w:val="0"/>
              <w:spacing w:before="0" w:after="283"/>
              <w:jc w:val="left"/>
              <w:rPr/>
            </w:pPr>
            <w:r>
              <w:rPr/>
              <w:t> </w:t>
            </w:r>
          </w:p>
        </w:tc>
        <w:tc>
          <w:tcPr>
            <w:tcW w:w="2194" w:type="dxa"/>
            <w:gridSpan w:val="2"/>
            <w:tcBorders/>
            <w:vAlign w:val="center"/>
          </w:tcPr>
          <w:p>
            <w:pPr>
              <w:pStyle w:val="TableContents"/>
              <w:bidi w:val="0"/>
              <w:spacing w:before="0" w:after="283"/>
              <w:jc w:val="left"/>
              <w:rPr>
                <w:sz w:val="20"/>
              </w:rPr>
            </w:pPr>
            <w:r>
              <w:rPr>
                <w:sz w:val="20"/>
              </w:rPr>
              <w:t>[Insert Name of Transferor]</w:t>
            </w:r>
          </w:p>
        </w:tc>
      </w:tr>
      <w:tr>
        <w:trPr/>
        <w:tc>
          <w:tcPr>
            <w:tcW w:w="75"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20"/>
              </w:rPr>
            </w:pPr>
            <w:r>
              <w:rPr>
                <w:sz w:val="20"/>
              </w:rPr>
              <w:t>By:</w:t>
            </w:r>
          </w:p>
        </w:tc>
        <w:tc>
          <w:tcPr>
            <w:tcW w:w="13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710" w:type="dxa"/>
        <w:jc w:val="left"/>
        <w:tblInd w:w="0" w:type="dxa"/>
        <w:tblLayout w:type="fixed"/>
        <w:tblCellMar>
          <w:top w:w="0" w:type="dxa"/>
          <w:left w:w="0" w:type="dxa"/>
          <w:bottom w:w="0" w:type="dxa"/>
          <w:right w:w="0" w:type="dxa"/>
        </w:tblCellMar>
      </w:tblPr>
      <w:tblGrid>
        <w:gridCol w:w="575"/>
        <w:gridCol w:w="60"/>
        <w:gridCol w:w="75"/>
      </w:tblGrid>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TO CERTIFICATE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Transferor owns and proposes to transfer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 OF (a) OR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 a beneficial interest in the: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648"/>
        <w:gridCol w:w="9435"/>
      </w:tblGrid>
      <w:tr>
        <w:trPr/>
        <w:tc>
          <w:tcPr>
            <w:tcW w:w="1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20"/>
              </w:rPr>
            </w:pPr>
            <w:r>
              <w:rPr>
                <w:sz w:val="20"/>
              </w:rPr>
              <w:t>(i)</w:t>
            </w:r>
          </w:p>
        </w:tc>
        <w:tc>
          <w:tcPr>
            <w:tcW w:w="9435" w:type="dxa"/>
            <w:tcBorders/>
            <w:vAlign w:val="center"/>
          </w:tcPr>
          <w:p>
            <w:pPr>
              <w:pStyle w:val="TableContents"/>
              <w:bidi w:val="0"/>
              <w:spacing w:before="0" w:after="283"/>
              <w:jc w:val="left"/>
              <w:rPr>
                <w:sz w:val="20"/>
              </w:rPr>
            </w:pPr>
            <w:r>
              <w:rPr>
                <w:sz w:val="20"/>
              </w:rPr>
              <w:t>[ ] 144A Global Note ([CUSIP: ]),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693"/>
        <w:gridCol w:w="9411"/>
      </w:tblGrid>
      <w:tr>
        <w:trPr/>
        <w:tc>
          <w:tcPr>
            <w:tcW w:w="10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20"/>
              </w:rPr>
            </w:pPr>
            <w:r>
              <w:rPr>
                <w:sz w:val="20"/>
              </w:rPr>
              <w:t>(ii)</w:t>
            </w:r>
          </w:p>
        </w:tc>
        <w:tc>
          <w:tcPr>
            <w:tcW w:w="9411" w:type="dxa"/>
            <w:tcBorders/>
            <w:vAlign w:val="center"/>
          </w:tcPr>
          <w:p>
            <w:pPr>
              <w:pStyle w:val="TableContents"/>
              <w:bidi w:val="0"/>
              <w:spacing w:before="0" w:after="283"/>
              <w:jc w:val="left"/>
              <w:rPr>
                <w:sz w:val="20"/>
              </w:rPr>
            </w:pPr>
            <w:r>
              <w:rPr>
                <w:sz w:val="20"/>
              </w:rPr>
              <w:t>[ ] Regulation S Global Note ([CUSIP: ]),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 a Restricted Definitive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After the Transfer the Transferee will 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 a beneficial interest in the: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648"/>
        <w:gridCol w:w="9435"/>
      </w:tblGrid>
      <w:tr>
        <w:trPr/>
        <w:tc>
          <w:tcPr>
            <w:tcW w:w="1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20"/>
              </w:rPr>
            </w:pPr>
            <w:r>
              <w:rPr>
                <w:sz w:val="20"/>
              </w:rPr>
              <w:t>(i)</w:t>
            </w:r>
          </w:p>
        </w:tc>
        <w:tc>
          <w:tcPr>
            <w:tcW w:w="9435" w:type="dxa"/>
            <w:tcBorders/>
            <w:vAlign w:val="center"/>
          </w:tcPr>
          <w:p>
            <w:pPr>
              <w:pStyle w:val="TableContents"/>
              <w:bidi w:val="0"/>
              <w:spacing w:before="0" w:after="283"/>
              <w:jc w:val="left"/>
              <w:rPr>
                <w:sz w:val="20"/>
              </w:rPr>
            </w:pPr>
            <w:r>
              <w:rPr>
                <w:sz w:val="20"/>
              </w:rPr>
              <w:t>[ ] 144A Global Note ([CUSIP: ]),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710"/>
        <w:gridCol w:w="9392"/>
      </w:tblGrid>
      <w:tr>
        <w:trPr/>
        <w:tc>
          <w:tcPr>
            <w:tcW w:w="10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20"/>
              </w:rPr>
            </w:pPr>
            <w:r>
              <w:rPr>
                <w:sz w:val="20"/>
              </w:rPr>
              <w:t>(ii)</w:t>
            </w:r>
          </w:p>
        </w:tc>
        <w:tc>
          <w:tcPr>
            <w:tcW w:w="9392" w:type="dxa"/>
            <w:tcBorders/>
            <w:vAlign w:val="center"/>
          </w:tcPr>
          <w:p>
            <w:pPr>
              <w:pStyle w:val="TableContents"/>
              <w:bidi w:val="0"/>
              <w:spacing w:before="0" w:after="283"/>
              <w:jc w:val="left"/>
              <w:rPr>
                <w:sz w:val="20"/>
              </w:rPr>
            </w:pPr>
            <w:r>
              <w:rPr>
                <w:sz w:val="20"/>
              </w:rPr>
              <w:t>[ ] Regulation S Global Note ([CUSIP: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975"/>
        <w:gridCol w:w="9115"/>
      </w:tblGrid>
      <w:tr>
        <w:trPr/>
        <w:tc>
          <w:tcPr>
            <w:tcW w:w="11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20"/>
              </w:rPr>
            </w:pPr>
            <w:r>
              <w:rPr>
                <w:sz w:val="20"/>
              </w:rPr>
              <w:t>(iii)</w:t>
            </w:r>
          </w:p>
        </w:tc>
        <w:tc>
          <w:tcPr>
            <w:tcW w:w="9115" w:type="dxa"/>
            <w:tcBorders/>
            <w:vAlign w:val="center"/>
          </w:tcPr>
          <w:p>
            <w:pPr>
              <w:pStyle w:val="TableContents"/>
              <w:bidi w:val="0"/>
              <w:spacing w:before="0" w:after="283"/>
              <w:jc w:val="left"/>
              <w:rPr>
                <w:sz w:val="20"/>
              </w:rPr>
            </w:pPr>
            <w:r>
              <w:rPr>
                <w:sz w:val="20"/>
              </w:rPr>
              <w:t>[ ] Unrestricted Global Note ([</w:t>
              <w:tab/>
              <w:t>] [</w:t>
              <w:tab/>
              <w:t>]);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 a Restricted Definitive Note;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 an Unrestricted Definitive Note, in accordance with the terms of the Indenture.</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OF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Issuer and/or any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Prestige Brands, Inc.</w:t>
        <w:br/>
        <w:t>660 White Plains Road</w:t>
        <w:br/>
        <w:t>Tarrytown, New York 10591</w:t>
        <w:br/>
        <w:t>Facsimile: (914) 524-6812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Ronald M. Lombardi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Prestige Brands,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 White Plains Road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Tarrytown, New York 10591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(914) 524-7488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William P’Pool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Alston &amp; Bird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 West Peachtree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30309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(404) 881-7777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Sarah E. Ernst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br/>
        <w:t>Global Corporate Trust Services EP-MN-WS3C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Livingston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Paul, Minnesota 55107-1419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(651) 466-7430</w:t>
        <w:br/>
        <w:t>Attention:  Corporate Trust Administrator for Prestige Brands,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brandon.bonfig@usbank.com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6.250% Senior Notes due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Indenture, dated as of July 15, 2026 (as amended, supplemented or otherwise modified from time to time,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among Prestige Brands, Inc., the Guarantors from time to time party thereto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 (the “</w:t>
      </w:r>
      <w:r>
        <w:rPr>
          <w:rFonts w:ascii="Times New Roman;Times;Serif" w:hAnsi="Times New Roman;Times;Serif"/>
          <w:b/>
          <w:i w:val="false"/>
          <w:caps w:val="false"/>
          <w:smallCaps w:val="false"/>
          <w:sz w:val="20"/>
        </w:rPr>
        <w:t>Owner</w:t>
      </w:r>
      <w:r>
        <w:rPr>
          <w:rFonts w:ascii="Times New Roman;Times;Serif" w:hAnsi="Times New Roman;Times;Serif"/>
          <w:b w:val="false"/>
          <w:i w:val="false"/>
          <w:caps w:val="false"/>
          <w:smallCaps w:val="false"/>
          <w:sz w:val="20"/>
        </w:rPr>
        <w:t>”) owns and proposes to exchange the Note[s] or interest in such Note[s] specified herein, in the principal amount of $__________in such Note[s] or interests (the “</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In connection with the Exchange, the Owner hereby certifies that: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C-1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EXCHANGE OF RESTRICTED DEFINITIVE NOTES OR BENEFICIAL INTERESTS IN A RESTRICTED GLOBAL NOTE FOR UNRESTRICTED DEFINITIVE NOTES OR BENEFICIAL INTERESTS IN AN UNRESTRICTED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 CHECK IF EXCHANGE IS FROM BENEFICIAL INTEREST IN A RESTRICTED GLOBAL NOTE TO UNRESTRICTED DEFINITIVE NOTE.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 CHECK IF EXCHANGE IS FROM RESTRICTED DEFINITIVE NOTE TO 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 ] CHECK IF EXCHANGE IS FROM RESTRICTED DEFINITIVE NOTE TO 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EXCHANGE OF RESTRICTED DEFINITIVE NOTES OR BENEFICIAL INTERESTS IN RESTRICTED GLOBAL NOTES FOR RESTRICTED DEFINITIVE NOTES OR BENEFICIAL INTERESTS IN RESTRICTED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 CHECK IF EXCHANGE IS FROM BENEFICIAL INTEREST IN A RESTRICTED 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C-2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 CHECK IF EXCHANGE IS FROM RESTRICTED DEFINITIVE NOTE TO BENEFICIAL INTEREST IN A RESTRICTED GLOBAL NOTE. In connection with the Exchange of the Owner’s Restricted Definitive Note for a beneficial interest in the [CHECK ONE] [ ] 144A Global Note [ ] Regulation S Global Note in each case,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C-3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and the statements contained herein are made for your benefit and the benefit of the Issuer and are dated</w:t>
      </w:r>
    </w:p>
    <w:p>
      <w:pPr>
        <w:pStyle w:val="TextBody"/>
        <w:bidi w:val="0"/>
        <w:spacing w:before="0" w:after="0"/>
        <w:ind w:left="0" w:right="0" w:hanging="0"/>
        <w:jc w:val="left"/>
        <w:rPr>
          <w:caps w:val="false"/>
          <w:smallCaps w:val="false"/>
        </w:rPr>
      </w:pPr>
      <w:r>
        <w:rPr>
          <w:caps w:val="false"/>
          <w:smallCaps w:val="false"/>
        </w:rPr>
        <w:t> </w:t>
      </w:r>
    </w:p>
    <w:tbl>
      <w:tblPr>
        <w:tblW w:w="2269" w:type="dxa"/>
        <w:jc w:val="left"/>
        <w:tblInd w:w="0" w:type="dxa"/>
        <w:tblLayout w:type="fixed"/>
        <w:tblCellMar>
          <w:top w:w="0" w:type="dxa"/>
          <w:left w:w="0" w:type="dxa"/>
          <w:bottom w:w="0" w:type="dxa"/>
          <w:right w:w="0" w:type="dxa"/>
        </w:tblCellMar>
      </w:tblPr>
      <w:tblGrid>
        <w:gridCol w:w="75"/>
        <w:gridCol w:w="798"/>
        <w:gridCol w:w="1396"/>
      </w:tblGrid>
      <w:tr>
        <w:trPr/>
        <w:tc>
          <w:tcPr>
            <w:tcW w:w="75" w:type="dxa"/>
            <w:tcBorders/>
            <w:vAlign w:val="center"/>
          </w:tcPr>
          <w:p>
            <w:pPr>
              <w:pStyle w:val="TableContents"/>
              <w:bidi w:val="0"/>
              <w:spacing w:before="0" w:after="283"/>
              <w:jc w:val="left"/>
              <w:rPr/>
            </w:pPr>
            <w:r>
              <w:rPr/>
              <w:t> </w:t>
            </w:r>
          </w:p>
        </w:tc>
        <w:tc>
          <w:tcPr>
            <w:tcW w:w="2194" w:type="dxa"/>
            <w:gridSpan w:val="2"/>
            <w:tcBorders/>
            <w:vAlign w:val="center"/>
          </w:tcPr>
          <w:p>
            <w:pPr>
              <w:pStyle w:val="TableContents"/>
              <w:bidi w:val="0"/>
              <w:spacing w:before="0" w:after="283"/>
              <w:jc w:val="left"/>
              <w:rPr>
                <w:sz w:val="20"/>
              </w:rPr>
            </w:pPr>
            <w:r>
              <w:rPr>
                <w:sz w:val="20"/>
              </w:rPr>
              <w:t>[Insert Name of Transferor]</w:t>
            </w:r>
          </w:p>
        </w:tc>
      </w:tr>
      <w:tr>
        <w:trPr/>
        <w:tc>
          <w:tcPr>
            <w:tcW w:w="75"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20"/>
              </w:rPr>
            </w:pPr>
            <w:r>
              <w:rPr>
                <w:sz w:val="20"/>
              </w:rPr>
              <w:t>By:</w:t>
            </w:r>
          </w:p>
        </w:tc>
        <w:tc>
          <w:tcPr>
            <w:tcW w:w="13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710" w:type="dxa"/>
        <w:jc w:val="left"/>
        <w:tblInd w:w="0" w:type="dxa"/>
        <w:tblLayout w:type="fixed"/>
        <w:tblCellMar>
          <w:top w:w="0" w:type="dxa"/>
          <w:left w:w="0" w:type="dxa"/>
          <w:bottom w:w="0" w:type="dxa"/>
          <w:right w:w="0" w:type="dxa"/>
        </w:tblCellMar>
      </w:tblPr>
      <w:tblGrid>
        <w:gridCol w:w="575"/>
        <w:gridCol w:w="60"/>
        <w:gridCol w:w="75"/>
      </w:tblGrid>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C-4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SUPPLEMENTAL INDENTURE</w:t>
        <w:br/>
        <w:t>TO BE DELIVERED BY SUBSEQUENT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(this “</w:t>
      </w:r>
      <w:r>
        <w:rPr>
          <w:rFonts w:ascii="Times New Roman;Times;Serif" w:hAnsi="Times New Roman;Times;Serif"/>
          <w:b/>
          <w:i w:val="false"/>
          <w:caps w:val="false"/>
          <w:smallCaps w:val="false"/>
          <w:sz w:val="20"/>
        </w:rPr>
        <w:t>Supplemental Indenture</w:t>
      </w:r>
      <w:r>
        <w:rPr>
          <w:rFonts w:ascii="Times New Roman;Times;Serif" w:hAnsi="Times New Roman;Times;Serif"/>
          <w:b w:val="false"/>
          <w:i w:val="false"/>
          <w:caps w:val="false"/>
          <w:smallCaps w:val="false"/>
          <w:sz w:val="20"/>
        </w:rPr>
        <w:t>”), dated as of ______________, among ________________________ (the “</w:t>
      </w:r>
      <w:r>
        <w:rPr>
          <w:rFonts w:ascii="Times New Roman;Times;Serif" w:hAnsi="Times New Roman;Times;Serif"/>
          <w:b/>
          <w:i w:val="false"/>
          <w:caps w:val="false"/>
          <w:smallCaps w:val="false"/>
          <w:sz w:val="20"/>
        </w:rPr>
        <w:t>Guaranteeing Subsidiary</w:t>
      </w:r>
      <w:r>
        <w:rPr>
          <w:rFonts w:ascii="Times New Roman;Times;Serif" w:hAnsi="Times New Roman;Times;Serif"/>
          <w:b w:val="false"/>
          <w:i w:val="false"/>
          <w:caps w:val="false"/>
          <w:smallCaps w:val="false"/>
          <w:sz w:val="20"/>
        </w:rPr>
        <w:t>”), a subsidiary of Prestige Brands, Inc., a Delaware corporation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and U.S. Bank Trust Company, National Association, a national banking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heretofore executed and delivered to the Trustee an Indenture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dated as of July 15, 2026, providing for the issuance of an unlimited aggregate principal amount of 6.250% Senior Notes due 2034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and under the Indenture (the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9.01 of the Indenture, the Trustee is authorized to execute and deliver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of which is hereby acknowledged, the parties mutually covenant and agree for the equal and ratable benefit of the Holders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Capitalized Terms</w:t>
      </w:r>
      <w:r>
        <w:rPr>
          <w:rFonts w:ascii="Times New Roman;Times;Serif" w:hAnsi="Times New Roman;Times;Serif"/>
          <w:b w:val="false"/>
          <w:i w:val="false"/>
          <w:caps w:val="false"/>
          <w:smallCaps w:val="false"/>
          <w:sz w:val="20"/>
        </w:rPr>
        <w:t>. Capitalized terms used herein without definition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Agreement to Guarantee</w:t>
      </w:r>
      <w:r>
        <w:rPr>
          <w:rFonts w:ascii="Times New Roman;Times;Serif" w:hAnsi="Times New Roman;Times;Serif"/>
          <w:b w:val="false"/>
          <w:i w:val="false"/>
          <w:caps w:val="false"/>
          <w:smallCaps w:val="false"/>
          <w:sz w:val="20"/>
        </w:rPr>
        <w:t>. The Guaranteeing Subsidiary acknowledges that it has received and reviewed a copy of the Indenture and all other documents it deems necessary to review in order to enter into this Supplemental Indenture, and acknowledges and agrees to (i) join and become a party to the Indenture as indicated by its signature below; (ii) be bound by the Indenture, as of the date hereof, as if made by, and with respect to, each signatory hereto; and (iii) perform all obligations and duties required of a Guarantor pursuant to the Indenture. The Guaranteeing Subsidiary hereby agrees to provide an unconditional Guarantee on the terms and subject to the conditions set forth in the Indenture, including, but not limited to, Article 10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Execution and Delivery</w:t>
      </w:r>
      <w:r>
        <w:rPr>
          <w:rFonts w:ascii="Times New Roman;Times;Serif" w:hAnsi="Times New Roman;Times;Serif"/>
          <w:b w:val="false"/>
          <w:i w:val="false"/>
          <w:caps w:val="false"/>
          <w:smallCaps w:val="false"/>
          <w:sz w:val="20"/>
        </w:rPr>
        <w:t>. The Guaranteeing Subsidiary agrees that the Guarantee shall remain in full force and effect notwithstanding the absence of the endorsement of any notation of such Guarantee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No Recourse Against Others</w:t>
      </w:r>
      <w:r>
        <w:rPr>
          <w:rFonts w:ascii="Times New Roman;Times;Serif" w:hAnsi="Times New Roman;Times;Serif"/>
          <w:b w:val="false"/>
          <w:i w:val="false"/>
          <w:caps w:val="false"/>
          <w:smallCaps w:val="false"/>
          <w:sz w:val="20"/>
        </w:rPr>
        <w:t>. No past, present or future director, officer, employee, incorporator, member, partner or stockholder of the Issuer or any Guaranteeing Subsidiary (other than the Issuer and the Guarantors) shall have any liability for any obligations of the Issuer or the Guarantors (including the Guaranteeing Subsidiary) under the Notes, any Guarantees, the Indenture or this Supplemental Indenture or for any claim based on, in respect of, or by reason of, such obligations or their creation. Each Holder by accepting Notes waives and releases all such liability. The waiver and release are part of the consideration for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SUPPLEMENTAL INDENTURE, AND THE RIGHTS AND DUTIES OF THE PARTIES HEREUNDER, WILL BE GOVERNED BY AND CONSTRUED IN ACCORDANCE WITH THE LAWS OF THE STATE OF NEW YORK WITHOUT REGARD TO CONFLICTS OF LAWS PRINCIPLES THEREOF.</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D-1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 The exchange of copies of this Supplemental Indenture and of signature pages by facsimile or PDF transmissions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 The words “delivery,” “execute,” “execution,” “signed,” “signature,” and words of like import in this Supplemental Indenture or in any other document executed in connection herewith shall be deemed to include electronic signatures, the electronic matching of assignment terms and contract formations on electronic platforms approved by the Initial Purchasers,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headings herein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The Trustee</w:t>
      </w:r>
      <w:r>
        <w:rPr>
          <w:rFonts w:ascii="Times New Roman;Times;Serif" w:hAnsi="Times New Roman;Times;Serif"/>
          <w:b w:val="false"/>
          <w:i w:val="false"/>
          <w:caps w:val="false"/>
          <w:smallCaps w:val="false"/>
          <w:sz w:val="20"/>
        </w:rPr>
        <w:t>. The Trustee shall not be responsible in any manner whatsoever for or in respect of the validity or sufficiency of this Supplemental Indenture or for or in respect of the recitals contained herein, all of which recitals are made solely by the Guaranteeing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Benefits Acknowledged</w:t>
      </w:r>
      <w:r>
        <w:rPr>
          <w:rFonts w:ascii="Times New Roman;Times;Serif" w:hAnsi="Times New Roman;Times;Serif"/>
          <w:b w:val="false"/>
          <w:i w:val="false"/>
          <w:caps w:val="false"/>
          <w:smallCaps w:val="false"/>
          <w:sz w:val="20"/>
        </w:rPr>
        <w:t>. The Guaranteeing Subsidiary’s Guarantee is subject to the terms and conditions set forth in the Indenture. The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All agreements of the Guaranteeing Subsidiary in this Supplemental Indenture shall bind its Successors, except as otherwise provided in this Supplemental Indenture. All agreements of the Trustee in this Supplemental Indenture shall bind its successors.</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D-2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Supplemental Indenture to be duly executed, all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914" w:type="dxa"/>
        <w:jc w:val="left"/>
        <w:tblInd w:w="0" w:type="dxa"/>
        <w:tblLayout w:type="fixed"/>
        <w:tblCellMar>
          <w:top w:w="0" w:type="dxa"/>
          <w:left w:w="0" w:type="dxa"/>
          <w:bottom w:w="0" w:type="dxa"/>
          <w:right w:w="0" w:type="dxa"/>
        </w:tblCellMar>
      </w:tblPr>
      <w:tblGrid>
        <w:gridCol w:w="75"/>
        <w:gridCol w:w="970"/>
        <w:gridCol w:w="1869"/>
      </w:tblGrid>
      <w:tr>
        <w:trPr/>
        <w:tc>
          <w:tcPr>
            <w:tcW w:w="75"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sz w:val="20"/>
              </w:rPr>
            </w:pPr>
            <w:r>
              <w:rPr>
                <w:sz w:val="20"/>
              </w:rPr>
              <w:t>[GUARANTEEING SUBSIDIARY]</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18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20"/>
              </w:rPr>
            </w:pPr>
            <w:r>
              <w:rPr>
                <w:sz w:val="20"/>
              </w:rPr>
              <w:t>By:</w:t>
            </w:r>
          </w:p>
        </w:tc>
        <w:tc>
          <w:tcPr>
            <w:tcW w:w="186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1869"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1869"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5959" w:type="dxa"/>
        <w:jc w:val="left"/>
        <w:tblInd w:w="0" w:type="dxa"/>
        <w:tblLayout w:type="fixed"/>
        <w:tblCellMar>
          <w:top w:w="0" w:type="dxa"/>
          <w:left w:w="0" w:type="dxa"/>
          <w:bottom w:w="0" w:type="dxa"/>
          <w:right w:w="0" w:type="dxa"/>
        </w:tblCellMar>
      </w:tblPr>
      <w:tblGrid>
        <w:gridCol w:w="75"/>
        <w:gridCol w:w="2011"/>
        <w:gridCol w:w="3873"/>
      </w:tblGrid>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sz w:val="20"/>
              </w:rPr>
            </w:pPr>
            <w:r>
              <w:rPr>
                <w:sz w:val="20"/>
              </w:rPr>
              <w:t>U.S. BANK TRUST COMPANY, NATIONAL ASSOCIATION, as Trustee</w:t>
            </w:r>
          </w:p>
        </w:tc>
      </w:tr>
      <w:tr>
        <w:trPr/>
        <w:tc>
          <w:tcPr>
            <w:tcW w:w="75"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pPr>
            <w:r>
              <w:rPr/>
              <w:t> </w:t>
            </w:r>
          </w:p>
        </w:tc>
        <w:tc>
          <w:tcPr>
            <w:tcW w:w="38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20"/>
              </w:rPr>
            </w:pPr>
            <w:r>
              <w:rPr>
                <w:sz w:val="20"/>
              </w:rPr>
              <w:t>By:</w:t>
            </w:r>
          </w:p>
        </w:tc>
        <w:tc>
          <w:tcPr>
            <w:tcW w:w="387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pPr>
            <w:r>
              <w:rPr/>
              <w:t> </w:t>
            </w:r>
          </w:p>
        </w:tc>
        <w:tc>
          <w:tcPr>
            <w:tcW w:w="3873"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pPr>
            <w:r>
              <w:rPr/>
              <w:t> </w:t>
            </w:r>
          </w:p>
        </w:tc>
        <w:tc>
          <w:tcPr>
            <w:tcW w:w="3873"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D-3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81000</Words>
  <Characters>426082</Characters>
  <CharactersWithSpaces>515500</CharactersWithSpaces>
  <Paragraphs>4043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