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5"/>
          <w:szCs w:val="15"/>
          <w:b w:val="1"/>
          <w:bCs w:val="1"/>
          <w:color w:val="auto"/>
        </w:rPr>
        <w:t>UNITED STATES</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Washington, D.C. 20549</w:t>
      </w:r>
    </w:p>
    <w:p>
      <w:pPr>
        <w:spacing w:after="0" w:line="156" w:lineRule="exact"/>
        <w:rPr>
          <w:sz w:val="24"/>
          <w:szCs w:val="24"/>
          <w:color w:val="auto"/>
        </w:rPr>
      </w:pPr>
    </w:p>
    <w:p>
      <w:pPr>
        <w:ind w:left="4980"/>
        <w:spacing w:after="0"/>
        <w:rPr>
          <w:sz w:val="20"/>
          <w:szCs w:val="20"/>
          <w:color w:val="auto"/>
        </w:rPr>
      </w:pPr>
      <w:r>
        <w:rPr>
          <w:rFonts w:ascii="Arial" w:cs="Arial" w:eastAsia="Arial" w:hAnsi="Arial"/>
          <w:sz w:val="26"/>
          <w:szCs w:val="26"/>
          <w:b w:val="1"/>
          <w:bCs w:val="1"/>
          <w:color w:val="auto"/>
        </w:rPr>
        <w:t>FORM 8-K/A</w:t>
      </w:r>
    </w:p>
    <w:p>
      <w:pPr>
        <w:spacing w:after="0" w:line="193"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CURRENT REPORT</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Date of Report (Date of earliest event reported): September 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2105660</wp:posOffset>
            </wp:positionH>
            <wp:positionV relativeFrom="paragraph">
              <wp:posOffset>207010</wp:posOffset>
            </wp:positionV>
            <wp:extent cx="3049905" cy="739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49905" cy="739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u w:val="single" w:color="auto"/>
          <w:color w:val="auto"/>
        </w:rPr>
        <w:t>PRESTIGE BRANDS HOLDINGS, INC.</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(Exact name of Registrant as specified in its charter)</w:t>
      </w:r>
    </w:p>
    <w:p>
      <w:pPr>
        <w:spacing w:after="0" w:line="104" w:lineRule="exact"/>
        <w:rPr>
          <w:sz w:val="24"/>
          <w:szCs w:val="24"/>
          <w:color w:val="auto"/>
        </w:rPr>
      </w:pPr>
    </w:p>
    <w:tbl>
      <w:tblPr>
        <w:tblLayout w:type="fixed"/>
        <w:tblInd w:w="1380"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1560" w:type="dxa"/>
            <w:vAlign w:val="bottom"/>
            <w:gridSpan w:val="2"/>
          </w:tcPr>
          <w:p>
            <w:pPr>
              <w:jc w:val="center"/>
              <w:ind w:right="980"/>
              <w:spacing w:after="0"/>
              <w:rPr>
                <w:sz w:val="20"/>
                <w:szCs w:val="20"/>
                <w:color w:val="auto"/>
              </w:rPr>
            </w:pPr>
            <w:r>
              <w:rPr>
                <w:rFonts w:ascii="Arial" w:cs="Arial" w:eastAsia="Arial" w:hAnsi="Arial"/>
                <w:sz w:val="15"/>
                <w:szCs w:val="15"/>
                <w:b w:val="1"/>
                <w:bCs w:val="1"/>
                <w:color w:val="auto"/>
                <w:w w:val="87"/>
              </w:rPr>
              <w:t>Delaware</w:t>
            </w:r>
          </w:p>
        </w:tc>
        <w:tc>
          <w:tcPr>
            <w:tcW w:w="4340" w:type="dxa"/>
            <w:vAlign w:val="bottom"/>
            <w:gridSpan w:val="3"/>
          </w:tcPr>
          <w:p>
            <w:pPr>
              <w:jc w:val="right"/>
              <w:ind w:right="1840"/>
              <w:spacing w:after="0"/>
              <w:rPr>
                <w:sz w:val="20"/>
                <w:szCs w:val="20"/>
                <w:color w:val="auto"/>
              </w:rPr>
            </w:pPr>
            <w:r>
              <w:rPr>
                <w:rFonts w:ascii="Arial" w:cs="Arial" w:eastAsia="Arial" w:hAnsi="Arial"/>
                <w:sz w:val="15"/>
                <w:szCs w:val="15"/>
                <w:color w:val="auto"/>
              </w:rPr>
              <w:t>001-32433</w:t>
            </w:r>
          </w:p>
        </w:tc>
        <w:tc>
          <w:tcPr>
            <w:tcW w:w="2420" w:type="dxa"/>
            <w:vAlign w:val="bottom"/>
            <w:gridSpan w:val="3"/>
          </w:tcPr>
          <w:p>
            <w:pPr>
              <w:jc w:val="right"/>
              <w:ind w:right="720"/>
              <w:spacing w:after="0"/>
              <w:rPr>
                <w:sz w:val="20"/>
                <w:szCs w:val="20"/>
                <w:color w:val="auto"/>
              </w:rPr>
            </w:pPr>
            <w:r>
              <w:rPr>
                <w:rFonts w:ascii="Arial" w:cs="Arial" w:eastAsia="Arial" w:hAnsi="Arial"/>
                <w:sz w:val="15"/>
                <w:szCs w:val="15"/>
                <w:b w:val="1"/>
                <w:bCs w:val="1"/>
                <w:color w:val="auto"/>
              </w:rPr>
              <w:t>20-1297589</w:t>
            </w:r>
          </w:p>
        </w:tc>
      </w:tr>
      <w:tr>
        <w:trPr>
          <w:trHeight w:val="20"/>
        </w:trPr>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2120" w:type="dxa"/>
            <w:vAlign w:val="bottom"/>
            <w:gridSpan w:val="3"/>
          </w:tcPr>
          <w:p>
            <w:pPr>
              <w:jc w:val="center"/>
              <w:ind w:right="420"/>
              <w:spacing w:after="0"/>
              <w:rPr>
                <w:sz w:val="20"/>
                <w:szCs w:val="20"/>
                <w:color w:val="auto"/>
              </w:rPr>
            </w:pPr>
            <w:r>
              <w:rPr>
                <w:rFonts w:ascii="Arial" w:cs="Arial" w:eastAsia="Arial" w:hAnsi="Arial"/>
                <w:sz w:val="15"/>
                <w:szCs w:val="15"/>
                <w:color w:val="auto"/>
                <w:w w:val="90"/>
              </w:rPr>
              <w:t>(State or other jurisdiction of</w:t>
            </w: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20" w:type="dxa"/>
            <w:vAlign w:val="bottom"/>
            <w:gridSpan w:val="3"/>
          </w:tcPr>
          <w:p>
            <w:pPr>
              <w:jc w:val="center"/>
              <w:ind w:left="207"/>
              <w:spacing w:after="0"/>
              <w:rPr>
                <w:sz w:val="20"/>
                <w:szCs w:val="20"/>
                <w:color w:val="auto"/>
              </w:rPr>
            </w:pPr>
            <w:r>
              <w:rPr>
                <w:rFonts w:ascii="Arial" w:cs="Arial" w:eastAsia="Arial" w:hAnsi="Arial"/>
                <w:sz w:val="15"/>
                <w:szCs w:val="15"/>
                <w:color w:val="auto"/>
                <w:w w:val="92"/>
              </w:rPr>
              <w:t>(I.R.S. Employer Identification No.)</w:t>
            </w:r>
          </w:p>
        </w:tc>
      </w:tr>
      <w:tr>
        <w:trPr>
          <w:trHeight w:val="187"/>
        </w:trPr>
        <w:tc>
          <w:tcPr>
            <w:tcW w:w="2120" w:type="dxa"/>
            <w:vAlign w:val="bottom"/>
            <w:gridSpan w:val="3"/>
          </w:tcPr>
          <w:p>
            <w:pPr>
              <w:jc w:val="center"/>
              <w:ind w:right="400"/>
              <w:spacing w:after="0"/>
              <w:rPr>
                <w:sz w:val="20"/>
                <w:szCs w:val="20"/>
                <w:color w:val="auto"/>
              </w:rPr>
            </w:pPr>
            <w:r>
              <w:rPr>
                <w:rFonts w:ascii="Arial" w:cs="Arial" w:eastAsia="Arial" w:hAnsi="Arial"/>
                <w:sz w:val="15"/>
                <w:szCs w:val="15"/>
                <w:color w:val="auto"/>
                <w:w w:val="91"/>
              </w:rPr>
              <w:t>incorporation)</w:t>
            </w:r>
          </w:p>
        </w:tc>
        <w:tc>
          <w:tcPr>
            <w:tcW w:w="4340" w:type="dxa"/>
            <w:vAlign w:val="bottom"/>
            <w:gridSpan w:val="3"/>
          </w:tcPr>
          <w:p>
            <w:pPr>
              <w:jc w:val="center"/>
              <w:spacing w:after="0"/>
              <w:rPr>
                <w:sz w:val="20"/>
                <w:szCs w:val="20"/>
                <w:color w:val="auto"/>
              </w:rPr>
            </w:pPr>
            <w:r>
              <w:rPr>
                <w:rFonts w:ascii="Arial" w:cs="Arial" w:eastAsia="Arial" w:hAnsi="Arial"/>
                <w:sz w:val="15"/>
                <w:szCs w:val="15"/>
                <w:color w:val="auto"/>
                <w:w w:val="90"/>
              </w:rPr>
              <w:t>(Commission file number)</w:t>
            </w: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15"/>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40" w:type="dxa"/>
            <w:vAlign w:val="bottom"/>
            <w:gridSpan w:val="3"/>
          </w:tcPr>
          <w:p>
            <w:pPr>
              <w:jc w:val="center"/>
              <w:ind w:left="47"/>
              <w:spacing w:after="0"/>
              <w:rPr>
                <w:sz w:val="20"/>
                <w:szCs w:val="20"/>
                <w:color w:val="auto"/>
              </w:rPr>
            </w:pPr>
            <w:r>
              <w:rPr>
                <w:rFonts w:ascii="Arial" w:cs="Arial" w:eastAsia="Arial" w:hAnsi="Arial"/>
                <w:sz w:val="15"/>
                <w:szCs w:val="15"/>
                <w:b w:val="1"/>
                <w:bCs w:val="1"/>
                <w:color w:val="auto"/>
                <w:w w:val="88"/>
              </w:rPr>
              <w:t>660 White Plains Road</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1"/>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40" w:type="dxa"/>
            <w:vAlign w:val="bottom"/>
            <w:gridSpan w:val="3"/>
          </w:tcPr>
          <w:p>
            <w:pPr>
              <w:jc w:val="center"/>
              <w:ind w:left="47"/>
              <w:spacing w:after="0"/>
              <w:rPr>
                <w:sz w:val="20"/>
                <w:szCs w:val="20"/>
                <w:color w:val="auto"/>
              </w:rPr>
            </w:pPr>
            <w:r>
              <w:rPr>
                <w:rFonts w:ascii="Arial" w:cs="Arial" w:eastAsia="Arial" w:hAnsi="Arial"/>
                <w:sz w:val="15"/>
                <w:szCs w:val="15"/>
                <w:b w:val="1"/>
                <w:bCs w:val="1"/>
                <w:color w:val="auto"/>
                <w:w w:val="91"/>
              </w:rPr>
              <w:t>Tarrytown, New York 10591</w:t>
            </w: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0"/>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340" w:type="dxa"/>
            <w:vAlign w:val="bottom"/>
            <w:gridSpan w:val="3"/>
          </w:tcPr>
          <w:p>
            <w:pPr>
              <w:jc w:val="center"/>
              <w:ind w:left="67"/>
              <w:spacing w:after="0"/>
              <w:rPr>
                <w:sz w:val="20"/>
                <w:szCs w:val="20"/>
                <w:color w:val="auto"/>
              </w:rPr>
            </w:pPr>
            <w:r>
              <w:rPr>
                <w:rFonts w:ascii="Arial" w:cs="Arial" w:eastAsia="Arial" w:hAnsi="Arial"/>
                <w:sz w:val="15"/>
                <w:szCs w:val="15"/>
                <w:color w:val="auto"/>
                <w:w w:val="90"/>
              </w:rPr>
              <w:t>(Address of principal executive offices) (Zip Code)</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19"/>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40" w:type="dxa"/>
            <w:vAlign w:val="bottom"/>
            <w:gridSpan w:val="3"/>
          </w:tcPr>
          <w:p>
            <w:pPr>
              <w:jc w:val="center"/>
              <w:ind w:left="67"/>
              <w:spacing w:after="0"/>
              <w:rPr>
                <w:sz w:val="20"/>
                <w:szCs w:val="20"/>
                <w:color w:val="auto"/>
              </w:rPr>
            </w:pPr>
            <w:r>
              <w:rPr>
                <w:rFonts w:ascii="Arial" w:cs="Arial" w:eastAsia="Arial" w:hAnsi="Arial"/>
                <w:sz w:val="15"/>
                <w:szCs w:val="15"/>
                <w:b w:val="1"/>
                <w:bCs w:val="1"/>
                <w:color w:val="auto"/>
                <w:w w:val="89"/>
              </w:rPr>
              <w:t>(914) 524-6800</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0"/>
        </w:trPr>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340" w:type="dxa"/>
            <w:vAlign w:val="bottom"/>
            <w:gridSpan w:val="3"/>
          </w:tcPr>
          <w:p>
            <w:pPr>
              <w:jc w:val="center"/>
              <w:ind w:left="67"/>
              <w:spacing w:after="0"/>
              <w:rPr>
                <w:sz w:val="20"/>
                <w:szCs w:val="20"/>
                <w:color w:val="auto"/>
              </w:rPr>
            </w:pPr>
            <w:r>
              <w:rPr>
                <w:rFonts w:ascii="Arial" w:cs="Arial" w:eastAsia="Arial" w:hAnsi="Arial"/>
                <w:sz w:val="15"/>
                <w:szCs w:val="15"/>
                <w:color w:val="auto"/>
                <w:w w:val="87"/>
              </w:rPr>
              <w:t>(Registrant's telephone number, including area code)</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07"/>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40" w:type="dxa"/>
            <w:vAlign w:val="bottom"/>
            <w:gridSpan w:val="3"/>
          </w:tcPr>
          <w:p>
            <w:pPr>
              <w:jc w:val="center"/>
              <w:ind w:left="67"/>
              <w:spacing w:after="0"/>
              <w:rPr>
                <w:sz w:val="20"/>
                <w:szCs w:val="20"/>
                <w:color w:val="auto"/>
              </w:rPr>
            </w:pPr>
            <w:r>
              <w:rPr>
                <w:rFonts w:ascii="Arial" w:cs="Arial" w:eastAsia="Arial" w:hAnsi="Arial"/>
                <w:sz w:val="15"/>
                <w:szCs w:val="15"/>
                <w:color w:val="auto"/>
                <w:w w:val="87"/>
              </w:rPr>
              <w:t>(Former name or former address, if changed since last report)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0" w:lineRule="exact"/>
        <w:rPr>
          <w:sz w:val="24"/>
          <w:szCs w:val="24"/>
          <w:color w:val="auto"/>
        </w:rPr>
      </w:pPr>
    </w:p>
    <w:p>
      <w:pPr>
        <w:spacing w:after="0" w:line="339" w:lineRule="exact"/>
        <w:rPr>
          <w:sz w:val="24"/>
          <w:szCs w:val="24"/>
          <w:color w:val="auto"/>
        </w:rPr>
      </w:pPr>
    </w:p>
    <w:p>
      <w:pPr>
        <w:spacing w:after="0" w:line="264"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u w:val="single" w:color="auto"/>
          <w:color w:val="auto"/>
        </w:rPr>
        <w:t>see</w:t>
      </w:r>
      <w:r>
        <w:rPr>
          <w:rFonts w:ascii="Arial" w:cs="Arial" w:eastAsia="Arial" w:hAnsi="Arial"/>
          <w:sz w:val="15"/>
          <w:szCs w:val="15"/>
          <w:color w:val="auto"/>
        </w:rPr>
        <w:t>: General Instructions A.2. below)</w:t>
      </w:r>
    </w:p>
    <w:p>
      <w:pPr>
        <w:spacing w:after="0" w:line="324" w:lineRule="exact"/>
        <w:rPr>
          <w:sz w:val="24"/>
          <w:szCs w:val="24"/>
          <w:color w:val="auto"/>
        </w:rPr>
      </w:pPr>
    </w:p>
    <w:p>
      <w:pPr>
        <w:ind w:left="840" w:hanging="810"/>
        <w:spacing w:after="0"/>
        <w:tabs>
          <w:tab w:leader="none" w:pos="840" w:val="left"/>
        </w:tabs>
        <w:numPr>
          <w:ilvl w:val="0"/>
          <w:numId w:val="1"/>
        </w:numPr>
        <w:rPr>
          <w:rFonts w:ascii="Arial" w:cs="Arial" w:eastAsia="Arial" w:hAnsi="Arial"/>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67" w:lineRule="exact"/>
        <w:rPr>
          <w:rFonts w:ascii="Arial" w:cs="Arial" w:eastAsia="Arial" w:hAnsi="Arial"/>
          <w:sz w:val="15"/>
          <w:szCs w:val="15"/>
          <w:color w:val="auto"/>
        </w:rPr>
      </w:pPr>
    </w:p>
    <w:p>
      <w:pPr>
        <w:ind w:left="840" w:hanging="810"/>
        <w:spacing w:after="0"/>
        <w:tabs>
          <w:tab w:leader="none" w:pos="840"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67" w:lineRule="exact"/>
        <w:rPr>
          <w:rFonts w:ascii="Arial" w:cs="Arial" w:eastAsia="Arial" w:hAnsi="Arial"/>
          <w:sz w:val="15"/>
          <w:szCs w:val="15"/>
          <w:color w:val="auto"/>
        </w:rPr>
      </w:pPr>
    </w:p>
    <w:p>
      <w:pPr>
        <w:ind w:left="840" w:hanging="810"/>
        <w:spacing w:after="0"/>
        <w:tabs>
          <w:tab w:leader="none" w:pos="84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267" w:lineRule="exact"/>
        <w:rPr>
          <w:rFonts w:ascii="Arial" w:cs="Arial" w:eastAsia="Arial" w:hAnsi="Arial"/>
          <w:sz w:val="15"/>
          <w:szCs w:val="15"/>
          <w:color w:val="auto"/>
        </w:rPr>
      </w:pPr>
    </w:p>
    <w:p>
      <w:pPr>
        <w:ind w:left="840" w:hanging="810"/>
        <w:spacing w:after="0"/>
        <w:tabs>
          <w:tab w:leader="none" w:pos="84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13e-4(c) under the Exchange Act (17 CFR 240.13e-4(c))</w:t>
      </w:r>
    </w:p>
    <w:p>
      <w:pPr>
        <w:sectPr>
          <w:pgSz w:w="11900" w:h="16838" w:orient="portrait"/>
          <w:cols w:equalWidth="0" w:num="1">
            <w:col w:w="11380"/>
          </w:cols>
          <w:pgMar w:left="220" w:top="586"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EXPLANATORY NOTE</w:t>
      </w:r>
    </w:p>
    <w:p>
      <w:pPr>
        <w:spacing w:after="0" w:line="183" w:lineRule="exact"/>
        <w:rPr>
          <w:sz w:val="20"/>
          <w:szCs w:val="20"/>
          <w:color w:val="auto"/>
        </w:rPr>
      </w:pPr>
    </w:p>
    <w:p>
      <w:pPr>
        <w:jc w:val="both"/>
        <w:ind w:firstLine="527"/>
        <w:spacing w:after="0" w:line="248" w:lineRule="auto"/>
        <w:rPr>
          <w:sz w:val="20"/>
          <w:szCs w:val="20"/>
          <w:color w:val="auto"/>
        </w:rPr>
      </w:pPr>
      <w:r>
        <w:rPr>
          <w:rFonts w:ascii="Arial" w:cs="Arial" w:eastAsia="Arial" w:hAnsi="Arial"/>
          <w:sz w:val="15"/>
          <w:szCs w:val="15"/>
          <w:color w:val="auto"/>
        </w:rPr>
        <w:t>This Current Report on Form 8-K/A is being filed as an amendment to the Current Report on Form 8-K filed by Prestige Brands Holdings, Inc. (the “</w:t>
      </w:r>
      <w:r>
        <w:rPr>
          <w:rFonts w:ascii="Arial" w:cs="Arial" w:eastAsia="Arial" w:hAnsi="Arial"/>
          <w:sz w:val="15"/>
          <w:szCs w:val="15"/>
          <w:u w:val="single" w:color="auto"/>
          <w:color w:val="auto"/>
        </w:rPr>
        <w:t>Company</w:t>
      </w:r>
      <w:r>
        <w:rPr>
          <w:rFonts w:ascii="Arial" w:cs="Arial" w:eastAsia="Arial" w:hAnsi="Arial"/>
          <w:sz w:val="15"/>
          <w:szCs w:val="15"/>
          <w:color w:val="auto"/>
        </w:rPr>
        <w:t>”) with the Securities and Exchange Commission (the “</w:t>
      </w:r>
      <w:r>
        <w:rPr>
          <w:rFonts w:ascii="Arial" w:cs="Arial" w:eastAsia="Arial" w:hAnsi="Arial"/>
          <w:sz w:val="15"/>
          <w:szCs w:val="15"/>
          <w:u w:val="single" w:color="auto"/>
          <w:color w:val="auto"/>
        </w:rPr>
        <w:t>Commission</w:t>
      </w:r>
      <w:r>
        <w:rPr>
          <w:rFonts w:ascii="Arial" w:cs="Arial" w:eastAsia="Arial" w:hAnsi="Arial"/>
          <w:sz w:val="15"/>
          <w:szCs w:val="15"/>
          <w:color w:val="auto"/>
        </w:rPr>
        <w:t>”) on September 3, 2014 (the “</w:t>
      </w:r>
      <w:r>
        <w:rPr>
          <w:rFonts w:ascii="Arial" w:cs="Arial" w:eastAsia="Arial" w:hAnsi="Arial"/>
          <w:sz w:val="15"/>
          <w:szCs w:val="15"/>
          <w:u w:val="single" w:color="auto"/>
          <w:color w:val="auto"/>
        </w:rPr>
        <w:t>Original Form 8-K</w:t>
      </w:r>
      <w:r>
        <w:rPr>
          <w:rFonts w:ascii="Arial" w:cs="Arial" w:eastAsia="Arial" w:hAnsi="Arial"/>
          <w:sz w:val="15"/>
          <w:szCs w:val="15"/>
          <w:color w:val="auto"/>
        </w:rPr>
        <w:t>”) announcing the completion of its previously announced acquisition of Insight Pharmaceuticals Corporation and Subsidiary ("Insight"), a marketer and distributor of feminine care and other OTC healthcare products in North America.This Current Report on Form 8-K/A amends Item 9.01 of the Original Form 8-K to present certain audited financial statements of Insight and to present certain unaudited pro forma financial information in connection with the Company’s business combination with Insight, which financial statements and unaudited pro forma information are filed as exhibits hereto. All of the other Items in the Original Form 8-K remain the same and are hereby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(a)</w:t>
      </w:r>
      <w:r>
        <w:rPr>
          <w:rFonts w:ascii="Arial" w:cs="Arial" w:eastAsia="Arial" w:hAnsi="Arial"/>
          <w:sz w:val="15"/>
          <w:szCs w:val="15"/>
          <w:i w:val="1"/>
          <w:iCs w:val="1"/>
          <w:color w:val="auto"/>
        </w:rPr>
        <w:t>Financial Statements of Business Acquired</w:t>
      </w:r>
      <w:r>
        <w:rPr>
          <w:rFonts w:ascii="Arial" w:cs="Arial" w:eastAsia="Arial" w:hAnsi="Arial"/>
          <w:sz w:val="15"/>
          <w:szCs w:val="15"/>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(i) The audited financial statements listed below for Insight are set forth in exhibit 99.1 to this Current Report on Form 8-K/A and are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Independent Auditors Report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Audited Consolidated Balance Sheets at December 31, 2013 and 2012</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Audited Consolidated Statements of Operations for the years ended December 31, 2013 and 2012</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Audited Consolidated Statements of Changes in Stockholders' Equity for the years ended December 31, 2013 and 2012</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Audited Consolidated Statements of Cash Flows for the years ended December 31, 2013 and 2012</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Notes to Consolidated Financial Statements for the years ended December 31, 2013 and 2012</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(ii) The interim financial statements listed below for Insight are set forth in exhibit 99.2 to this Current Report on Form 8-K/A and are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Unaudited Consolidated Balance Sheets at June 30, 2014 and December 31, 2013</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Unaudited Consolidated Statements of Operations for the six months ended June 30, 2014 and 2013</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Unaudited Consolidated Statements of Changes in Stockholders' Equity for the six months ended June 30, 2014</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Unaudited Consolidated Statements of Cash Flows for the six months ended June 30, 2014 and 2013</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Notes to Consolidated Financial Statements for the six months ended June 30, 2014 and 2013</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(b)Pro Forma Financial Information.</w:t>
      </w:r>
    </w:p>
    <w:p>
      <w:pPr>
        <w:spacing w:after="0" w:line="1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unaudited pro forma combined financial statements listed below of the Company giving effect to the acquisition of Insight are set forth in exhibit 99.3 to this Current Report on Form 8-K/A and are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Unaudited Pro Forma Combined Statement of Operations for the twelve months ended March 31, 2014</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Unaudited Pro Forma Combined Statement of Operations for the six months ended September 30, 2014</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Notes to Pro Forma Combined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(d)</w:t>
      </w:r>
      <w:r>
        <w:rPr>
          <w:rFonts w:ascii="Arial" w:cs="Arial" w:eastAsia="Arial" w:hAnsi="Arial"/>
          <w:sz w:val="15"/>
          <w:szCs w:val="15"/>
          <w:i w:val="1"/>
          <w:iCs w:val="1"/>
          <w:color w:val="auto"/>
        </w:rPr>
        <w:t>Exhibits</w:t>
      </w:r>
      <w:r>
        <w:rPr>
          <w:rFonts w:ascii="Arial" w:cs="Arial" w:eastAsia="Arial" w:hAnsi="Arial"/>
          <w:sz w:val="15"/>
          <w:szCs w:val="15"/>
          <w:color w:val="auto"/>
        </w:rPr>
        <w:t>.</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See Exhibit Index immediately following the signature page to this Current Report on Form 8-K/A.</w:t>
      </w:r>
    </w:p>
    <w:p>
      <w:pPr>
        <w:sectPr>
          <w:pgSz w:w="11900" w:h="16838" w:orient="portrait"/>
          <w:cols w:equalWidth="0" w:num="1">
            <w:col w:w="11460"/>
          </w:cols>
          <w:pgMar w:left="220" w:top="674" w:right="2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5"/>
          <w:szCs w:val="15"/>
          <w:b w:val="1"/>
          <w:bCs w:val="1"/>
          <w:color w:val="auto"/>
        </w:rPr>
        <w:t>SIGNATURES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600"/>
        <w:spacing w:after="0"/>
        <w:rPr>
          <w:sz w:val="20"/>
          <w:szCs w:val="20"/>
          <w:color w:val="auto"/>
        </w:rPr>
      </w:pPr>
      <w:r>
        <w:rPr>
          <w:rFonts w:ascii="Arial" w:cs="Arial" w:eastAsia="Arial" w:hAnsi="Arial"/>
          <w:sz w:val="15"/>
          <w:szCs w:val="15"/>
          <w:b w:val="1"/>
          <w:bCs w:val="1"/>
          <w:color w:val="auto"/>
        </w:rPr>
        <w:t>PRESTIGE BRANDS HOLDINGS, INC.</w:t>
      </w:r>
    </w:p>
    <w:p>
      <w:pPr>
        <w:spacing w:after="0" w:line="271" w:lineRule="exact"/>
        <w:rPr>
          <w:sz w:val="20"/>
          <w:szCs w:val="20"/>
          <w:color w:val="auto"/>
        </w:rPr>
      </w:pPr>
    </w:p>
    <w:p>
      <w:pPr>
        <w:spacing w:after="0"/>
        <w:tabs>
          <w:tab w:leader="none" w:pos="5580" w:val="left"/>
          <w:tab w:leader="none" w:pos="6280" w:val="left"/>
        </w:tabs>
        <w:rPr>
          <w:sz w:val="20"/>
          <w:szCs w:val="20"/>
          <w:color w:val="auto"/>
        </w:rPr>
      </w:pPr>
      <w:r>
        <w:rPr>
          <w:rFonts w:ascii="Arial" w:cs="Arial" w:eastAsia="Arial" w:hAnsi="Arial"/>
          <w:sz w:val="15"/>
          <w:szCs w:val="15"/>
          <w:color w:val="auto"/>
        </w:rPr>
        <w:t>Date: November 19, 2014</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Ronald M. Lombardi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22860</wp:posOffset>
            </wp:positionV>
            <wp:extent cx="29032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3220" cy="6985"/>
                    </a:xfrm>
                    <a:prstGeom prst="rect">
                      <a:avLst/>
                    </a:prstGeom>
                    <a:noFill/>
                  </pic:spPr>
                </pic:pic>
              </a:graphicData>
            </a:graphic>
          </wp:anchor>
        </w:drawing>
      </w:r>
    </w:p>
    <w:p>
      <w:pPr>
        <w:spacing w:after="0" w:line="38"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Ronald M. Lombardi</w:t>
      </w:r>
    </w:p>
    <w:p>
      <w:pPr>
        <w:spacing w:after="0" w:line="47"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140"/>
          </w:cols>
          <w:pgMar w:left="260" w:top="499" w:right="499" w:bottom="1440" w:gutter="0" w:footer="0" w:header="0"/>
        </w:sectPr>
      </w:pPr>
    </w:p>
    <w:bookmarkStart w:id="3" w:name="page4"/>
    <w:bookmarkEnd w:id="3"/>
    <w:p>
      <w:pPr>
        <w:ind w:left="5120"/>
        <w:spacing w:after="0"/>
        <w:rPr>
          <w:sz w:val="20"/>
          <w:szCs w:val="20"/>
          <w:color w:val="auto"/>
        </w:rPr>
      </w:pPr>
      <w:r>
        <w:rPr>
          <w:rFonts w:ascii="Arial" w:cs="Arial" w:eastAsia="Arial" w:hAnsi="Arial"/>
          <w:sz w:val="15"/>
          <w:szCs w:val="15"/>
          <w:b w:val="1"/>
          <w:bCs w:val="1"/>
          <w:color w:val="auto"/>
        </w:rPr>
        <w:t>EXHIBIT INDEX</w:t>
      </w:r>
    </w:p>
    <w:p>
      <w:pPr>
        <w:spacing w:after="0" w:line="315" w:lineRule="exact"/>
        <w:rPr>
          <w:sz w:val="20"/>
          <w:szCs w:val="20"/>
          <w:color w:val="auto"/>
        </w:rPr>
      </w:pPr>
    </w:p>
    <w:p>
      <w:pPr>
        <w:spacing w:after="0"/>
        <w:tabs>
          <w:tab w:leader="none" w:pos="1460" w:val="left"/>
        </w:tabs>
        <w:rPr>
          <w:sz w:val="20"/>
          <w:szCs w:val="20"/>
          <w:color w:val="auto"/>
        </w:rPr>
      </w:pPr>
      <w:r>
        <w:rPr>
          <w:rFonts w:ascii="Arial" w:cs="Arial" w:eastAsia="Arial" w:hAnsi="Arial"/>
          <w:sz w:val="15"/>
          <w:szCs w:val="15"/>
          <w:u w:val="single" w:color="auto"/>
          <w:color w:val="auto"/>
        </w:rPr>
        <w:t>Exhibit No.</w:t>
      </w:r>
      <w:r>
        <w:rPr>
          <w:sz w:val="20"/>
          <w:szCs w:val="20"/>
          <w:color w:val="auto"/>
        </w:rPr>
        <w:tab/>
      </w:r>
      <w:r>
        <w:rPr>
          <w:rFonts w:ascii="Arial" w:cs="Arial" w:eastAsia="Arial" w:hAnsi="Arial"/>
          <w:sz w:val="13"/>
          <w:szCs w:val="13"/>
          <w:u w:val="single" w:color="auto"/>
          <w:color w:val="auto"/>
        </w:rPr>
        <w:t>Description</w:t>
      </w:r>
    </w:p>
    <w:p>
      <w:pPr>
        <w:spacing w:after="0" w:line="267"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5"/>
          <w:szCs w:val="15"/>
          <w:color w:val="auto"/>
        </w:rPr>
        <w:t>23.1</w:t>
      </w:r>
      <w:r>
        <w:rPr>
          <w:sz w:val="20"/>
          <w:szCs w:val="20"/>
          <w:color w:val="auto"/>
        </w:rPr>
        <w:tab/>
      </w:r>
      <w:r>
        <w:rPr>
          <w:rFonts w:ascii="Arial" w:cs="Arial" w:eastAsia="Arial" w:hAnsi="Arial"/>
          <w:sz w:val="13"/>
          <w:szCs w:val="13"/>
          <w:color w:val="auto"/>
        </w:rPr>
        <w:t>Consent of KPMG, LLP</w:t>
      </w:r>
    </w:p>
    <w:p>
      <w:pPr>
        <w:spacing w:after="0" w:line="47"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3"/>
          <w:szCs w:val="13"/>
          <w:color w:val="auto"/>
        </w:rPr>
        <w:t>Audited Consolidated Financial Statements of Insight for the years ended December 31, 2013 and 2012</w:t>
      </w:r>
    </w:p>
    <w:p>
      <w:pPr>
        <w:spacing w:after="0" w:line="47"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5"/>
          <w:szCs w:val="15"/>
          <w:color w:val="auto"/>
        </w:rPr>
        <w:t>99.2</w:t>
      </w:r>
      <w:r>
        <w:rPr>
          <w:sz w:val="20"/>
          <w:szCs w:val="20"/>
          <w:color w:val="auto"/>
        </w:rPr>
        <w:tab/>
      </w:r>
      <w:r>
        <w:rPr>
          <w:rFonts w:ascii="Arial" w:cs="Arial" w:eastAsia="Arial" w:hAnsi="Arial"/>
          <w:sz w:val="13"/>
          <w:szCs w:val="13"/>
          <w:color w:val="auto"/>
        </w:rPr>
        <w:t>Unaudited Consolidated Financial Statements of Insight for the six months ended June 30, 2014 and 2013</w:t>
      </w:r>
    </w:p>
    <w:p>
      <w:pPr>
        <w:spacing w:after="0" w:line="47"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5"/>
          <w:szCs w:val="15"/>
          <w:color w:val="auto"/>
        </w:rPr>
        <w:t>99.3</w:t>
      </w:r>
      <w:r>
        <w:rPr>
          <w:sz w:val="20"/>
          <w:szCs w:val="20"/>
          <w:color w:val="auto"/>
        </w:rPr>
        <w:tab/>
      </w:r>
      <w:r>
        <w:rPr>
          <w:rFonts w:ascii="Arial" w:cs="Arial" w:eastAsia="Arial" w:hAnsi="Arial"/>
          <w:sz w:val="13"/>
          <w:szCs w:val="13"/>
          <w:color w:val="auto"/>
        </w:rPr>
        <w:t>Unaudited Pro Forma Combined Statements of Operations of the Company giving effect to the acquisition of Insight.</w:t>
      </w:r>
    </w:p>
    <w:p>
      <w:pPr>
        <w:sectPr>
          <w:pgSz w:w="11900" w:h="16838" w:orient="portrait"/>
          <w:cols w:equalWidth="0" w:num="1">
            <w:col w:w="10199"/>
          </w:cols>
          <w:pgMar w:left="260" w:top="499" w:right="1440" w:bottom="1440" w:gutter="0" w:footer="0" w:header="0"/>
        </w:sectPr>
      </w:pPr>
    </w:p>
    <w:bookmarkStart w:id="4" w:name="page5"/>
    <w:bookmarkEnd w:id="4"/>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1049020</wp:posOffset>
            </wp:positionH>
            <wp:positionV relativeFrom="page">
              <wp:posOffset>312420</wp:posOffset>
            </wp:positionV>
            <wp:extent cx="5581650" cy="7352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1650" cy="735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1460" w:val="left"/>
        </w:tabs>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312420</wp:posOffset>
            </wp:positionV>
            <wp:extent cx="7214235" cy="7352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4235" cy="735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2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4235" cy="735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2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235" cy="735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2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235" cy="735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2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235" cy="735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2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235" cy="735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1460" w:val="left"/>
        </w:tabs>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312420</wp:posOffset>
            </wp:positionV>
            <wp:extent cx="7214235" cy="7352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235" cy="735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2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235" cy="735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2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235" cy="735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2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235" cy="735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2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235" cy="7352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7359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235" cy="7359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1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7776845</wp:posOffset>
            </wp:positionV>
            <wp:extent cx="721423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1460" w:val="left"/>
        </w:tabs>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15"/>
          <w:szCs w:val="15"/>
          <w:b w:val="1"/>
          <w:bCs w:val="1"/>
          <w:color w:val="auto"/>
        </w:rPr>
        <w:t>Exhibit 99.3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Prestige Brands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Pro-Forma Combined Financial Information Introduction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September 3, 2014, Prestige Brands Holdings, Inc. (referred to herein as "Prestige", the "Company" or "we", which reference shall, unless the context requires otherwise, be deemed to refer to Prestige Brands Holdings, Inc. and all of its direct and indirect 100% owned subsidiaries on a consolidated basis) completed its previously announced acquisition of Insight Pharmaceuticals Corporation and Subsidiary ("Insight"), a marketer and distributor of feminine care and other OTC healthcare products in North America for $753.2 million in cash. The closing followed the Federal Trade Commission’s (“FTC”) approval of the acquisition, and was finalized pursuant to the terms of the purchase agreement announced on April 25, 2014. Pursuant to the Insight purchase agreement, the Company acquired 27 over-the-counter (OTC) pharmaceutical brands sold in North America (including related trademarks, contracts and inventory), which extends the Company's portfolio of OTC brands to include a leading feminine care platform in the U.S. and Canada anchored by Monistat®, the #1 brand in OTC yeast infection treatment. The acquisition will also add brands to Prestige’s cough/cold, pain relief, ear care and dermatological platforms.</w:t>
      </w:r>
    </w:p>
    <w:p>
      <w:pPr>
        <w:spacing w:after="0" w:line="148"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On the closing date, the Company and Prestige Brands, Inc. (the "Borrower") entered into Amendment No. 2 (the "Term Loan Amendment") to the credit agreement governing the Company's term loan facility (the "Term Loan Credit Agreement"). The Term Loan Amendment provides for (i) the creation of a new class of Term B-2 Loans under the Term Loan Credit Agreement in an aggregate principal amount of $720.0 million, (ii) increased flexibility under the Term Loan Credit Agreement, including but not limited to additional investment, restricted payment and debt incurrence flexibility and financial maintenance covenant relief and (iii) an interest rate on (x) the Term B-1 Loans that is based, at the Borrower’s option, on a LIBOR rate plus a margin of 3.125% per annum, with a LIBOR floor of 1.00%, or an alternate base rate plus a margin, and (y) the Term B-2 Loans that is based, at the Borrower’s option, on a LIBOR rate plus a margin of</w:t>
      </w:r>
    </w:p>
    <w:p>
      <w:pPr>
        <w:spacing w:after="0" w:line="2"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3.50% per annum, with a LIBOR floor of 1.00%, or an alternate base rate plus a margin (with a margin step-down to 3.25% per annum, based upon achievement of specified secured net leverage ratio). A portion of the proceeds from the sale were used by Insight to repay debt.</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unaudited pro forma combined statements of operations for the fiscal year ended March 31, 2014 and for the six months ended September 30, 2014 have been prepared to illustrate the effects of the acquisition and related financings (collectively, the "Transactions"), as if they had occurred on April 1, 2013. The Company has not included an unaudited pro forma combined balance sheet below, as the Insight transaction is reflected in the unaudited balance sheet of the Company as of September 30, 2014, which was included in the Company's Quarterly Report on Form 10-Q for the quarter ended September 30, 2014. The pro forma data has been derived from the audited financial statements of Prestige for the fiscal year ended March 31, 2014 and the unaudited financial statements of Prestige for the six months ended September 30, 2014, the audited financial statements of Insight for the fiscal year ended December 31, 2013 and the unaudited financial statements of Insight for the six months ended June 30, 2014. Insight has historically used a December 31 fiscal year end. For purposes of the pro forma combined financial information for the fiscal year ended March 31, 2014 and for the six months ended September 30, 2014 herein, the year ended December 31, 2013 and the six months ended June 30, 2014 was used for Insight, respectively.</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pro forma adjustments contained in the unaudited pro forma combined financial information are based on the latest available information and certain adjustments that management believes are reasonable. These unaudited pro forma adjustments include a preliminary allocation of the purchase price of Insight to the assets acquired and liabilities assumed based on a preliminary valuation analysis; however, the final valuation may differ from this preliminary valuation. The actual results reported by the combined company in periods following the Transactions may differ materially from that reflected in this unaudited pro forma combined financial information.</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unaudited pro forma combined financial information presented herein is based on the assumptions and adjustments described in the accompanying notes. The unaudited pro forma combined financial information gives effect to events that are (1) directly attributable to the Transactions, (2) factually supportable and (3) expected to have a continuing impact on the combined company. The unaudited pro forma combined financial information is presented for illustrative purposes and does not purport to represent what the financial position or results of operations would actually have been if the Transactions had occurred as of the dates indicated or what the results of operations would be for any future periods.</w:t>
      </w:r>
    </w:p>
    <w:p>
      <w:pPr>
        <w:sectPr>
          <w:pgSz w:w="11900" w:h="16838" w:orient="portrait"/>
          <w:cols w:equalWidth="0" w:num="1">
            <w:col w:w="11460"/>
          </w:cols>
          <w:pgMar w:left="220" w:top="674" w:right="219" w:bottom="1440" w:gutter="0" w:footer="0" w:header="0"/>
        </w:sectPr>
      </w:pPr>
    </w:p>
    <w:bookmarkStart w:id="52" w:name="page53"/>
    <w:bookmarkEnd w:id="52"/>
    <w:p>
      <w:pPr>
        <w:jc w:val="both"/>
        <w:spacing w:after="0" w:line="254" w:lineRule="auto"/>
        <w:rPr>
          <w:sz w:val="20"/>
          <w:szCs w:val="20"/>
          <w:color w:val="auto"/>
        </w:rPr>
      </w:pPr>
      <w:r>
        <w:rPr>
          <w:rFonts w:ascii="Arial" w:cs="Arial" w:eastAsia="Arial" w:hAnsi="Arial"/>
          <w:sz w:val="15"/>
          <w:szCs w:val="15"/>
          <w:color w:val="auto"/>
        </w:rPr>
        <w:t>The unaudited pro forma combined financial information, including the notes thereto, should be read in conjunction with the historical consolidated financial statements and accompanying notes contained in Prestige Brands Holdings, Inc.'s Quarterly Report on Form 10-Q for the quarter ended September 30, 2014, filed on November 6, 2014, and the Annual Report on Form 10-K for the year ended March 31, 2014, filed on May 19, 2014.</w:t>
      </w:r>
    </w:p>
    <w:p>
      <w:pPr>
        <w:spacing w:after="0" w:line="156" w:lineRule="exact"/>
        <w:rPr>
          <w:sz w:val="20"/>
          <w:szCs w:val="20"/>
          <w:color w:val="auto"/>
        </w:rPr>
      </w:pPr>
    </w:p>
    <w:p>
      <w:pPr>
        <w:jc w:val="both"/>
        <w:spacing w:after="0" w:line="300" w:lineRule="auto"/>
        <w:rPr>
          <w:sz w:val="20"/>
          <w:szCs w:val="20"/>
          <w:color w:val="auto"/>
        </w:rPr>
      </w:pPr>
      <w:r>
        <w:rPr>
          <w:rFonts w:ascii="Arial" w:cs="Arial" w:eastAsia="Arial" w:hAnsi="Arial"/>
          <w:sz w:val="14"/>
          <w:szCs w:val="14"/>
          <w:color w:val="auto"/>
        </w:rPr>
        <w:t>It is management's opinion that these pro forma financial statements represent the fair presentation, in all material respects, of the transaction described above applied on a basis consistent with Prestige’s accounting policies. No adjustments have been made to reflect potential cost savings that may occur subsequent to completion of the transaction.</w:t>
      </w:r>
    </w:p>
    <w:p>
      <w:pPr>
        <w:sectPr>
          <w:pgSz w:w="11900" w:h="16838" w:orient="portrait"/>
          <w:cols w:equalWidth="0" w:num="1">
            <w:col w:w="11460"/>
          </w:cols>
          <w:pgMar w:left="220" w:top="503" w:right="219" w:bottom="1440" w:gutter="0" w:footer="0" w:header="0"/>
        </w:sectPr>
      </w:pPr>
    </w:p>
    <w:bookmarkStart w:id="53" w:name="page54"/>
    <w:bookmarkEnd w:id="53"/>
    <w:p>
      <w:pPr>
        <w:jc w:val="center"/>
        <w:ind w:right="-1220"/>
        <w:spacing w:after="0"/>
        <w:rPr>
          <w:sz w:val="20"/>
          <w:szCs w:val="20"/>
          <w:color w:val="auto"/>
        </w:rPr>
      </w:pPr>
      <w:r>
        <w:rPr>
          <w:rFonts w:ascii="Arial" w:cs="Arial" w:eastAsia="Arial" w:hAnsi="Arial"/>
          <w:sz w:val="18"/>
          <w:szCs w:val="18"/>
          <w:b w:val="1"/>
          <w:bCs w:val="1"/>
          <w:color w:val="auto"/>
        </w:rPr>
        <w:t>Prestige Brands Holdings, Inc</w:t>
      </w:r>
      <w:r>
        <w:rPr>
          <w:rFonts w:ascii="Arial" w:cs="Arial" w:eastAsia="Arial" w:hAnsi="Arial"/>
          <w:sz w:val="14"/>
          <w:szCs w:val="14"/>
          <w:color w:val="auto"/>
        </w:rPr>
        <w:t>.</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Pro Forma Combined Statement of Operations</w:t>
      </w:r>
    </w:p>
    <w:p>
      <w:pPr>
        <w:spacing w:after="0" w:line="6"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For the Twelve Months ended March 31, 2014</w:t>
      </w:r>
    </w:p>
    <w:p>
      <w:pPr>
        <w:spacing w:after="0" w:line="3"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i w:val="1"/>
          <w:i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Divested Brand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21"/>
        </w:trPr>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ind w:right="21"/>
              <w:spacing w:after="0" w:line="121" w:lineRule="exact"/>
              <w:rPr>
                <w:sz w:val="20"/>
                <w:szCs w:val="20"/>
                <w:color w:val="auto"/>
              </w:rPr>
            </w:pPr>
            <w:r>
              <w:rPr>
                <w:rFonts w:ascii="Arial" w:cs="Arial" w:eastAsia="Arial" w:hAnsi="Arial"/>
                <w:sz w:val="12"/>
                <w:szCs w:val="12"/>
                <w:b w:val="1"/>
                <w:bCs w:val="1"/>
                <w:color w:val="auto"/>
                <w:w w:val="84"/>
              </w:rPr>
              <w:t>Prestige Brands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00"/>
              <w:spacing w:after="0" w:line="121" w:lineRule="exact"/>
              <w:rPr>
                <w:sz w:val="20"/>
                <w:szCs w:val="20"/>
                <w:color w:val="auto"/>
              </w:rPr>
            </w:pPr>
            <w:r>
              <w:rPr>
                <w:rFonts w:ascii="Arial" w:cs="Arial" w:eastAsia="Arial" w:hAnsi="Arial"/>
                <w:sz w:val="12"/>
                <w:szCs w:val="12"/>
                <w:b w:val="1"/>
                <w:bCs w:val="1"/>
                <w:color w:val="auto"/>
                <w:w w:val="88"/>
              </w:rPr>
              <w:t>included in</w:t>
            </w:r>
          </w:p>
        </w:tc>
        <w:tc>
          <w:tcPr>
            <w:tcW w:w="140" w:type="dxa"/>
            <w:vAlign w:val="bottom"/>
          </w:tcPr>
          <w:p>
            <w:pPr>
              <w:spacing w:after="0"/>
              <w:rPr>
                <w:sz w:val="10"/>
                <w:szCs w:val="10"/>
                <w:color w:val="auto"/>
              </w:rPr>
            </w:pPr>
          </w:p>
        </w:tc>
        <w:tc>
          <w:tcPr>
            <w:tcW w:w="920" w:type="dxa"/>
            <w:vAlign w:val="bottom"/>
          </w:tcPr>
          <w:p>
            <w:pPr>
              <w:jc w:val="right"/>
              <w:ind w:right="201"/>
              <w:spacing w:after="0" w:line="121" w:lineRule="exact"/>
              <w:rPr>
                <w:sz w:val="20"/>
                <w:szCs w:val="20"/>
                <w:color w:val="auto"/>
              </w:rPr>
            </w:pPr>
            <w:r>
              <w:rPr>
                <w:rFonts w:ascii="Arial" w:cs="Arial" w:eastAsia="Arial" w:hAnsi="Arial"/>
                <w:sz w:val="12"/>
                <w:szCs w:val="12"/>
                <w:b w:val="1"/>
                <w:bCs w:val="1"/>
                <w:color w:val="auto"/>
              </w:rPr>
              <w:t>Pro Forma</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62"/>
        </w:trPr>
        <w:tc>
          <w:tcPr>
            <w:tcW w:w="382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In thousands, except per share data</w:t>
            </w: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b w:val="1"/>
                <w:bCs w:val="1"/>
                <w:color w:val="auto"/>
                <w:w w:val="91"/>
              </w:rPr>
              <w:t>Holdings, Inc.</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Insight</w:t>
            </w: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Insight (a)</w:t>
            </w:r>
          </w:p>
        </w:tc>
        <w:tc>
          <w:tcPr>
            <w:tcW w:w="140" w:type="dxa"/>
            <w:vAlign w:val="bottom"/>
          </w:tcPr>
          <w:p>
            <w:pPr>
              <w:spacing w:after="0"/>
              <w:rPr>
                <w:sz w:val="14"/>
                <w:szCs w:val="14"/>
                <w:color w:val="auto"/>
              </w:rPr>
            </w:pPr>
          </w:p>
        </w:tc>
        <w:tc>
          <w:tcPr>
            <w:tcW w:w="920" w:type="dxa"/>
            <w:vAlign w:val="bottom"/>
          </w:tcPr>
          <w:p>
            <w:pPr>
              <w:jc w:val="right"/>
              <w:ind w:right="161"/>
              <w:spacing w:after="0"/>
              <w:rPr>
                <w:sz w:val="20"/>
                <w:szCs w:val="20"/>
                <w:color w:val="auto"/>
              </w:rPr>
            </w:pPr>
            <w:r>
              <w:rPr>
                <w:rFonts w:ascii="Arial" w:cs="Arial" w:eastAsia="Arial" w:hAnsi="Arial"/>
                <w:sz w:val="12"/>
                <w:szCs w:val="12"/>
                <w:b w:val="1"/>
                <w:bCs w:val="1"/>
                <w:color w:val="auto"/>
                <w:w w:val="93"/>
              </w:rPr>
              <w:t>Adjustments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41"/>
              <w:spacing w:after="0"/>
              <w:rPr>
                <w:sz w:val="20"/>
                <w:szCs w:val="20"/>
                <w:color w:val="auto"/>
              </w:rPr>
            </w:pPr>
            <w:r>
              <w:rPr>
                <w:rFonts w:ascii="Arial" w:cs="Arial" w:eastAsia="Arial" w:hAnsi="Arial"/>
                <w:sz w:val="12"/>
                <w:szCs w:val="12"/>
                <w:b w:val="1"/>
                <w:bCs w:val="1"/>
                <w:color w:val="auto"/>
              </w:rPr>
              <w:t>Pro Forma *</w:t>
            </w:r>
          </w:p>
        </w:tc>
      </w:tr>
      <w:tr>
        <w:trPr>
          <w:trHeight w:val="220"/>
        </w:trPr>
        <w:tc>
          <w:tcPr>
            <w:tcW w:w="3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Revenues</w:t>
            </w:r>
          </w:p>
        </w:tc>
        <w:tc>
          <w:tcPr>
            <w:tcW w:w="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15"/>
        </w:trPr>
        <w:tc>
          <w:tcPr>
            <w:tcW w:w="3820" w:type="dxa"/>
            <w:vAlign w:val="bottom"/>
          </w:tcPr>
          <w:p>
            <w:pPr>
              <w:ind w:left="40"/>
              <w:spacing w:after="0"/>
              <w:rPr>
                <w:sz w:val="20"/>
                <w:szCs w:val="20"/>
                <w:color w:val="auto"/>
              </w:rPr>
            </w:pPr>
            <w:r>
              <w:rPr>
                <w:rFonts w:ascii="Arial" w:cs="Arial" w:eastAsia="Arial" w:hAnsi="Arial"/>
                <w:sz w:val="12"/>
                <w:szCs w:val="12"/>
                <w:b w:val="1"/>
                <w:bCs w:val="1"/>
                <w:color w:val="auto"/>
              </w:rPr>
              <w:t>Net sales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596,954</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41"/>
              <w:spacing w:after="0"/>
              <w:rPr>
                <w:sz w:val="20"/>
                <w:szCs w:val="20"/>
                <w:color w:val="auto"/>
              </w:rPr>
            </w:pPr>
            <w:r>
              <w:rPr>
                <w:rFonts w:ascii="Arial" w:cs="Arial" w:eastAsia="Arial" w:hAnsi="Arial"/>
                <w:sz w:val="12"/>
                <w:szCs w:val="12"/>
                <w:color w:val="auto"/>
              </w:rPr>
              <w:t>175,943</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(5,457)</w:t>
            </w:r>
          </w:p>
        </w:tc>
        <w:tc>
          <w:tcPr>
            <w:tcW w:w="200" w:type="dxa"/>
            <w:vAlign w:val="bottom"/>
          </w:tcPr>
          <w:p>
            <w:pPr>
              <w:spacing w:after="0"/>
              <w:rPr>
                <w:sz w:val="18"/>
                <w:szCs w:val="18"/>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58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767,440</w:t>
            </w:r>
          </w:p>
        </w:tc>
      </w:tr>
      <w:tr>
        <w:trPr>
          <w:trHeight w:val="220"/>
        </w:trPr>
        <w:tc>
          <w:tcPr>
            <w:tcW w:w="3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revenues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4,927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4,927</w:t>
            </w:r>
          </w:p>
        </w:tc>
      </w:tr>
      <w:tr>
        <w:trPr>
          <w:trHeight w:val="200"/>
        </w:trPr>
        <w:tc>
          <w:tcPr>
            <w:tcW w:w="3820" w:type="dxa"/>
            <w:vAlign w:val="bottom"/>
          </w:tcPr>
          <w:p>
            <w:pPr>
              <w:ind w:left="140"/>
              <w:spacing w:after="0"/>
              <w:rPr>
                <w:sz w:val="20"/>
                <w:szCs w:val="20"/>
                <w:color w:val="auto"/>
              </w:rPr>
            </w:pPr>
            <w:r>
              <w:rPr>
                <w:rFonts w:ascii="Arial" w:cs="Arial" w:eastAsia="Arial" w:hAnsi="Arial"/>
                <w:sz w:val="12"/>
                <w:szCs w:val="12"/>
                <w:color w:val="auto"/>
              </w:rPr>
              <w:t>Total revenues</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rPr>
              <w:t>601,881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175,943</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(5,457)</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rPr>
              <w:t>772,367</w:t>
            </w:r>
          </w:p>
        </w:tc>
      </w:tr>
      <w:tr>
        <w:trPr>
          <w:trHeight w:val="225"/>
        </w:trPr>
        <w:tc>
          <w:tcPr>
            <w:tcW w:w="3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5"/>
        </w:trPr>
        <w:tc>
          <w:tcPr>
            <w:tcW w:w="3820" w:type="dxa"/>
            <w:vAlign w:val="bottom"/>
          </w:tcPr>
          <w:p>
            <w:pPr>
              <w:ind w:left="40"/>
              <w:spacing w:after="0"/>
              <w:rPr>
                <w:sz w:val="20"/>
                <w:szCs w:val="20"/>
                <w:color w:val="auto"/>
              </w:rPr>
            </w:pPr>
            <w:r>
              <w:rPr>
                <w:rFonts w:ascii="Arial" w:cs="Arial" w:eastAsia="Arial" w:hAnsi="Arial"/>
                <w:sz w:val="12"/>
                <w:szCs w:val="12"/>
                <w:b w:val="1"/>
                <w:bCs w:val="1"/>
                <w:color w:val="auto"/>
              </w:rPr>
              <w:t>Cost of Sales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3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Cost of sales (exclusive of depreciation shown below)</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261,830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62,720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(699)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3,306</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327,157</w:t>
            </w:r>
          </w:p>
        </w:tc>
      </w:tr>
      <w:tr>
        <w:trPr>
          <w:trHeight w:val="200"/>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Gross profit</w:t>
            </w:r>
          </w:p>
        </w:tc>
        <w:tc>
          <w:tcPr>
            <w:tcW w:w="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340,051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113,223</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(4,758)</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(3,306)</w:t>
            </w:r>
          </w:p>
        </w:tc>
        <w:tc>
          <w:tcPr>
            <w:tcW w:w="3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445,210</w:t>
            </w:r>
          </w:p>
        </w:tc>
      </w:tr>
      <w:tr>
        <w:trPr>
          <w:trHeight w:val="216"/>
        </w:trPr>
        <w:tc>
          <w:tcPr>
            <w:tcW w:w="3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3820" w:type="dxa"/>
            <w:vAlign w:val="bottom"/>
          </w:tcPr>
          <w:p>
            <w:pPr>
              <w:ind w:left="40"/>
              <w:spacing w:after="0"/>
              <w:rPr>
                <w:sz w:val="20"/>
                <w:szCs w:val="20"/>
                <w:color w:val="auto"/>
              </w:rPr>
            </w:pPr>
            <w:r>
              <w:rPr>
                <w:rFonts w:ascii="Arial" w:cs="Arial" w:eastAsia="Arial" w:hAnsi="Arial"/>
                <w:sz w:val="12"/>
                <w:szCs w:val="12"/>
                <w:b w:val="1"/>
                <w:bCs w:val="1"/>
                <w:color w:val="auto"/>
              </w:rPr>
              <w:t>Operating Expenses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3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Advertising and promotion</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89,468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31,364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120,190</w:t>
            </w:r>
          </w:p>
        </w:tc>
      </w:tr>
      <w:tr>
        <w:trPr>
          <w:trHeight w:val="215"/>
        </w:trPr>
        <w:tc>
          <w:tcPr>
            <w:tcW w:w="3820" w:type="dxa"/>
            <w:vAlign w:val="bottom"/>
          </w:tcPr>
          <w:p>
            <w:pPr>
              <w:ind w:left="140"/>
              <w:spacing w:after="0"/>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18"/>
                <w:szCs w:val="18"/>
                <w:color w:val="auto"/>
              </w:rPr>
            </w:pP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48,481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Arial" w:cs="Arial" w:eastAsia="Arial" w:hAnsi="Arial"/>
                <w:sz w:val="12"/>
                <w:szCs w:val="12"/>
                <w:color w:val="auto"/>
              </w:rPr>
              <w:t>23,561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(3,306)</w:t>
            </w: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(d)</w:t>
            </w: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68,692</w:t>
            </w:r>
          </w:p>
        </w:tc>
      </w:tr>
      <w:tr>
        <w:trPr>
          <w:trHeight w:val="220"/>
        </w:trPr>
        <w:tc>
          <w:tcPr>
            <w:tcW w:w="3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and amortization</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13,486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7,527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(569)</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20,444</w:t>
            </w:r>
          </w:p>
        </w:tc>
      </w:tr>
      <w:tr>
        <w:trPr>
          <w:trHeight w:val="200"/>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Total operating expenses</w:t>
            </w:r>
          </w:p>
        </w:tc>
        <w:tc>
          <w:tcPr>
            <w:tcW w:w="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151,435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62,452</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(686)</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(3,875)</w:t>
            </w:r>
          </w:p>
        </w:tc>
        <w:tc>
          <w:tcPr>
            <w:tcW w:w="3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209,326</w:t>
            </w:r>
          </w:p>
        </w:tc>
      </w:tr>
      <w:tr>
        <w:trPr>
          <w:trHeight w:val="200"/>
        </w:trPr>
        <w:tc>
          <w:tcPr>
            <w:tcW w:w="3820" w:type="dxa"/>
            <w:vAlign w:val="bottom"/>
            <w:shd w:val="clear" w:color="auto" w:fill="CCEEFF"/>
          </w:tcPr>
          <w:p>
            <w:pPr>
              <w:ind w:left="580"/>
              <w:spacing w:after="0"/>
              <w:rPr>
                <w:sz w:val="20"/>
                <w:szCs w:val="20"/>
                <w:color w:val="auto"/>
              </w:rPr>
            </w:pPr>
            <w:r>
              <w:rPr>
                <w:rFonts w:ascii="Arial" w:cs="Arial" w:eastAsia="Arial" w:hAnsi="Arial"/>
                <w:sz w:val="12"/>
                <w:szCs w:val="12"/>
                <w:color w:val="auto"/>
              </w:rPr>
              <w:t>Operating income</w:t>
            </w: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188,616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50,771</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(4,072)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569</w:t>
            </w:r>
          </w:p>
        </w:tc>
        <w:tc>
          <w:tcPr>
            <w:tcW w:w="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235,884</w:t>
            </w:r>
          </w:p>
        </w:tc>
      </w:tr>
      <w:tr>
        <w:trPr>
          <w:trHeight w:val="216"/>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38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Other (income) expense</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2"/>
                <w:szCs w:val="12"/>
                <w:color w:val="auto"/>
              </w:rPr>
              <w:t>Interest expense, net</w:t>
            </w:r>
          </w:p>
        </w:tc>
        <w:tc>
          <w:tcPr>
            <w:tcW w:w="80" w:type="dxa"/>
            <w:vAlign w:val="bottom"/>
          </w:tcPr>
          <w:p>
            <w:pPr>
              <w:spacing w:after="0"/>
              <w:rPr>
                <w:sz w:val="18"/>
                <w:szCs w:val="18"/>
                <w:color w:val="auto"/>
              </w:rPr>
            </w:pP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68,582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Arial" w:cs="Arial" w:eastAsia="Arial" w:hAnsi="Arial"/>
                <w:sz w:val="12"/>
                <w:szCs w:val="12"/>
                <w:color w:val="auto"/>
              </w:rPr>
              <w:t>33,236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2,895</w:t>
            </w: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(f)</w:t>
            </w: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104,713</w:t>
            </w:r>
          </w:p>
        </w:tc>
      </w:tr>
      <w:tr>
        <w:trPr>
          <w:trHeight w:val="220"/>
        </w:trPr>
        <w:tc>
          <w:tcPr>
            <w:tcW w:w="3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non-operating (income) expense</w:t>
            </w: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18,286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18,399</w:t>
            </w:r>
          </w:p>
        </w:tc>
      </w:tr>
      <w:tr>
        <w:trPr>
          <w:trHeight w:val="200"/>
        </w:trPr>
        <w:tc>
          <w:tcPr>
            <w:tcW w:w="3820" w:type="dxa"/>
            <w:vAlign w:val="bottom"/>
          </w:tcPr>
          <w:p>
            <w:pPr>
              <w:ind w:left="140"/>
              <w:spacing w:after="0"/>
              <w:rPr>
                <w:sz w:val="20"/>
                <w:szCs w:val="20"/>
                <w:color w:val="auto"/>
              </w:rPr>
            </w:pPr>
            <w:r>
              <w:rPr>
                <w:rFonts w:ascii="Arial" w:cs="Arial" w:eastAsia="Arial" w:hAnsi="Arial"/>
                <w:sz w:val="12"/>
                <w:szCs w:val="12"/>
                <w:color w:val="auto"/>
              </w:rPr>
              <w:t>Total other expense</w:t>
            </w:r>
          </w:p>
        </w:tc>
        <w:tc>
          <w:tcPr>
            <w:tcW w:w="8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2"/>
                <w:szCs w:val="12"/>
                <w:color w:val="auto"/>
              </w:rPr>
              <w:t>86,868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41"/>
              <w:spacing w:after="0"/>
              <w:rPr>
                <w:sz w:val="20"/>
                <w:szCs w:val="20"/>
                <w:color w:val="auto"/>
              </w:rPr>
            </w:pPr>
            <w:r>
              <w:rPr>
                <w:rFonts w:ascii="Arial" w:cs="Arial" w:eastAsia="Arial" w:hAnsi="Arial"/>
                <w:sz w:val="12"/>
                <w:szCs w:val="12"/>
                <w:color w:val="auto"/>
              </w:rPr>
              <w:t>33,349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2,895</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123,112</w:t>
            </w:r>
          </w:p>
        </w:tc>
      </w:tr>
      <w:tr>
        <w:trPr>
          <w:trHeight w:val="205"/>
        </w:trPr>
        <w:tc>
          <w:tcPr>
            <w:tcW w:w="382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2"/>
                <w:szCs w:val="12"/>
                <w:color w:val="auto"/>
              </w:rPr>
              <w:t>Income before income taxes</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101,748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17,422</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(4,072)</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(2,326)</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112,772</w:t>
            </w:r>
          </w:p>
        </w:tc>
      </w:tr>
      <w:tr>
        <w:trPr>
          <w:trHeight w:val="215"/>
        </w:trPr>
        <w:tc>
          <w:tcPr>
            <w:tcW w:w="382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Provision for income taxes</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29,133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6,312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(930)</w:t>
            </w:r>
          </w:p>
        </w:tc>
        <w:tc>
          <w:tcPr>
            <w:tcW w:w="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33,040</w:t>
            </w:r>
          </w:p>
        </w:tc>
      </w:tr>
      <w:tr>
        <w:trPr>
          <w:trHeight w:val="194"/>
        </w:trPr>
        <w:tc>
          <w:tcPr>
            <w:tcW w:w="3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72,615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11,110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(2,597)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(1,396)</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79,732</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3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20"/>
        </w:trPr>
        <w:tc>
          <w:tcPr>
            <w:tcW w:w="3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Earnings per share:</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9"/>
        </w:trPr>
        <w:tc>
          <w:tcPr>
            <w:tcW w:w="382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Basic</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1.54</w:t>
            </w:r>
          </w:p>
        </w:tc>
      </w:tr>
      <w:tr>
        <w:trPr>
          <w:trHeight w:val="160"/>
        </w:trPr>
        <w:tc>
          <w:tcPr>
            <w:tcW w:w="38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1.39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1.52</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3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20"/>
        </w:trPr>
        <w:tc>
          <w:tcPr>
            <w:tcW w:w="3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Weighted average shares outstanding:</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9"/>
        </w:trPr>
        <w:tc>
          <w:tcPr>
            <w:tcW w:w="382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Basic</w:t>
            </w:r>
          </w:p>
        </w:tc>
        <w:tc>
          <w:tcPr>
            <w:tcW w:w="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51,641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51,641</w:t>
            </w:r>
          </w:p>
        </w:tc>
      </w:tr>
      <w:tr>
        <w:trPr>
          <w:trHeight w:val="160"/>
        </w:trPr>
        <w:tc>
          <w:tcPr>
            <w:tcW w:w="3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Diluted</w:t>
            </w: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52,349</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52,349</w:t>
            </w:r>
          </w:p>
        </w:tc>
      </w:tr>
      <w:tr>
        <w:trPr>
          <w:trHeight w:val="20"/>
        </w:trPr>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this pro forma combined statement of operations.</w:t>
      </w:r>
    </w:p>
    <w:p>
      <w:pPr>
        <w:sectPr>
          <w:pgSz w:w="11900" w:h="16838" w:orient="portrait"/>
          <w:cols w:equalWidth="0" w:num="1">
            <w:col w:w="10239"/>
          </w:cols>
          <w:pgMar w:left="220" w:top="501" w:right="1440" w:bottom="1440" w:gutter="0" w:footer="0" w:header="0"/>
        </w:sectPr>
      </w:pPr>
    </w:p>
    <w:bookmarkStart w:id="54" w:name="page55"/>
    <w:bookmarkEnd w:id="54"/>
    <w:p>
      <w:pPr>
        <w:jc w:val="center"/>
        <w:ind w:right="-659"/>
        <w:spacing w:after="0"/>
        <w:rPr>
          <w:sz w:val="20"/>
          <w:szCs w:val="20"/>
          <w:color w:val="auto"/>
        </w:rPr>
      </w:pPr>
      <w:r>
        <w:rPr>
          <w:rFonts w:ascii="Arial" w:cs="Arial" w:eastAsia="Arial" w:hAnsi="Arial"/>
          <w:sz w:val="18"/>
          <w:szCs w:val="18"/>
          <w:b w:val="1"/>
          <w:bCs w:val="1"/>
          <w:color w:val="auto"/>
        </w:rPr>
        <w:t>Prestige Brands Holdings, Inc</w:t>
      </w:r>
      <w:r>
        <w:rPr>
          <w:rFonts w:ascii="Arial" w:cs="Arial" w:eastAsia="Arial" w:hAnsi="Arial"/>
          <w:sz w:val="14"/>
          <w:szCs w:val="14"/>
          <w:color w:val="auto"/>
        </w:rPr>
        <w:t>.</w:t>
      </w:r>
    </w:p>
    <w:p>
      <w:pPr>
        <w:spacing w:after="0" w:line="22" w:lineRule="exact"/>
        <w:rPr>
          <w:sz w:val="20"/>
          <w:szCs w:val="20"/>
          <w:color w:val="auto"/>
        </w:rPr>
      </w:pPr>
    </w:p>
    <w:p>
      <w:pPr>
        <w:jc w:val="center"/>
        <w:ind w:right="-659"/>
        <w:spacing w:after="0"/>
        <w:rPr>
          <w:sz w:val="20"/>
          <w:szCs w:val="20"/>
          <w:color w:val="auto"/>
        </w:rPr>
      </w:pPr>
      <w:r>
        <w:rPr>
          <w:rFonts w:ascii="Arial" w:cs="Arial" w:eastAsia="Arial" w:hAnsi="Arial"/>
          <w:sz w:val="15"/>
          <w:szCs w:val="15"/>
          <w:b w:val="1"/>
          <w:bCs w:val="1"/>
          <w:color w:val="auto"/>
        </w:rPr>
        <w:t>Pro Forma Combined Statement of Operations</w:t>
      </w:r>
    </w:p>
    <w:p>
      <w:pPr>
        <w:spacing w:after="0" w:line="6" w:lineRule="exact"/>
        <w:rPr>
          <w:sz w:val="20"/>
          <w:szCs w:val="20"/>
          <w:color w:val="auto"/>
        </w:rPr>
      </w:pPr>
    </w:p>
    <w:p>
      <w:pPr>
        <w:jc w:val="center"/>
        <w:ind w:right="-659"/>
        <w:spacing w:after="0"/>
        <w:rPr>
          <w:sz w:val="20"/>
          <w:szCs w:val="20"/>
          <w:color w:val="auto"/>
        </w:rPr>
      </w:pPr>
      <w:r>
        <w:rPr>
          <w:rFonts w:ascii="Arial" w:cs="Arial" w:eastAsia="Arial" w:hAnsi="Arial"/>
          <w:sz w:val="15"/>
          <w:szCs w:val="15"/>
          <w:b w:val="1"/>
          <w:bCs w:val="1"/>
          <w:color w:val="auto"/>
        </w:rPr>
        <w:t>For the Six Months ended September 30, 2014</w:t>
      </w:r>
    </w:p>
    <w:p>
      <w:pPr>
        <w:spacing w:after="0" w:line="3" w:lineRule="exact"/>
        <w:rPr>
          <w:sz w:val="20"/>
          <w:szCs w:val="20"/>
          <w:color w:val="auto"/>
        </w:rPr>
      </w:pPr>
    </w:p>
    <w:p>
      <w:pPr>
        <w:jc w:val="center"/>
        <w:ind w:right="-659"/>
        <w:spacing w:after="0"/>
        <w:rPr>
          <w:sz w:val="20"/>
          <w:szCs w:val="20"/>
          <w:color w:val="auto"/>
        </w:rPr>
      </w:pPr>
      <w:r>
        <w:rPr>
          <w:rFonts w:ascii="Arial" w:cs="Arial" w:eastAsia="Arial" w:hAnsi="Arial"/>
          <w:sz w:val="15"/>
          <w:szCs w:val="15"/>
          <w:b w:val="1"/>
          <w:bCs w:val="1"/>
          <w:i w:val="1"/>
          <w:i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Divested Brand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21"/>
        </w:trPr>
        <w:tc>
          <w:tcPr>
            <w:tcW w:w="3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41"/>
              <w:spacing w:after="0" w:line="121" w:lineRule="exact"/>
              <w:rPr>
                <w:sz w:val="20"/>
                <w:szCs w:val="20"/>
                <w:color w:val="auto"/>
              </w:rPr>
            </w:pPr>
            <w:r>
              <w:rPr>
                <w:rFonts w:ascii="Arial" w:cs="Arial" w:eastAsia="Arial" w:hAnsi="Arial"/>
                <w:sz w:val="12"/>
                <w:szCs w:val="12"/>
                <w:b w:val="1"/>
                <w:bCs w:val="1"/>
                <w:color w:val="auto"/>
                <w:w w:val="84"/>
              </w:rPr>
              <w:t>Prestige Brands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89"/>
              </w:rPr>
              <w:t>Insight included</w:t>
            </w:r>
          </w:p>
        </w:tc>
        <w:tc>
          <w:tcPr>
            <w:tcW w:w="80" w:type="dxa"/>
            <w:vAlign w:val="bottom"/>
          </w:tcPr>
          <w:p>
            <w:pPr>
              <w:spacing w:after="0"/>
              <w:rPr>
                <w:sz w:val="10"/>
                <w:szCs w:val="10"/>
                <w:color w:val="auto"/>
              </w:rPr>
            </w:pPr>
          </w:p>
        </w:tc>
        <w:tc>
          <w:tcPr>
            <w:tcW w:w="100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88"/>
              </w:rPr>
              <w:t>included in</w:t>
            </w:r>
          </w:p>
        </w:tc>
        <w:tc>
          <w:tcPr>
            <w:tcW w:w="140" w:type="dxa"/>
            <w:vAlign w:val="bottom"/>
          </w:tcPr>
          <w:p>
            <w:pPr>
              <w:spacing w:after="0"/>
              <w:rPr>
                <w:sz w:val="10"/>
                <w:szCs w:val="10"/>
                <w:color w:val="auto"/>
              </w:rPr>
            </w:pPr>
          </w:p>
        </w:tc>
        <w:tc>
          <w:tcPr>
            <w:tcW w:w="920" w:type="dxa"/>
            <w:vAlign w:val="bottom"/>
          </w:tcPr>
          <w:p>
            <w:pPr>
              <w:jc w:val="right"/>
              <w:ind w:right="201"/>
              <w:spacing w:after="0" w:line="121" w:lineRule="exact"/>
              <w:rPr>
                <w:sz w:val="20"/>
                <w:szCs w:val="20"/>
                <w:color w:val="auto"/>
              </w:rPr>
            </w:pPr>
            <w:r>
              <w:rPr>
                <w:rFonts w:ascii="Arial" w:cs="Arial" w:eastAsia="Arial" w:hAnsi="Arial"/>
                <w:sz w:val="12"/>
                <w:szCs w:val="12"/>
                <w:b w:val="1"/>
                <w:bCs w:val="1"/>
                <w:color w:val="auto"/>
              </w:rPr>
              <w:t>Pro Forma</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62"/>
        </w:trPr>
        <w:tc>
          <w:tcPr>
            <w:tcW w:w="39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In thousands, except per share data</w:t>
            </w: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b w:val="1"/>
                <w:bCs w:val="1"/>
                <w:color w:val="auto"/>
                <w:w w:val="93"/>
              </w:rPr>
              <w:t>Holdings, Inc.</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Insight</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in PBH (b)</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Insight (a)</w:t>
            </w:r>
          </w:p>
        </w:tc>
        <w:tc>
          <w:tcPr>
            <w:tcW w:w="140" w:type="dxa"/>
            <w:vAlign w:val="bottom"/>
          </w:tcPr>
          <w:p>
            <w:pPr>
              <w:spacing w:after="0"/>
              <w:rPr>
                <w:sz w:val="14"/>
                <w:szCs w:val="14"/>
                <w:color w:val="auto"/>
              </w:rPr>
            </w:pPr>
          </w:p>
        </w:tc>
        <w:tc>
          <w:tcPr>
            <w:tcW w:w="920" w:type="dxa"/>
            <w:vAlign w:val="bottom"/>
          </w:tcPr>
          <w:p>
            <w:pPr>
              <w:jc w:val="right"/>
              <w:ind w:right="141"/>
              <w:spacing w:after="0"/>
              <w:rPr>
                <w:sz w:val="20"/>
                <w:szCs w:val="20"/>
                <w:color w:val="auto"/>
              </w:rPr>
            </w:pPr>
            <w:r>
              <w:rPr>
                <w:rFonts w:ascii="Arial" w:cs="Arial" w:eastAsia="Arial" w:hAnsi="Arial"/>
                <w:sz w:val="12"/>
                <w:szCs w:val="12"/>
                <w:b w:val="1"/>
                <w:bCs w:val="1"/>
                <w:color w:val="auto"/>
                <w:w w:val="96"/>
              </w:rPr>
              <w:t>Adjustments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01"/>
              <w:spacing w:after="0"/>
              <w:rPr>
                <w:sz w:val="20"/>
                <w:szCs w:val="20"/>
                <w:color w:val="auto"/>
              </w:rPr>
            </w:pPr>
            <w:r>
              <w:rPr>
                <w:rFonts w:ascii="Arial" w:cs="Arial" w:eastAsia="Arial" w:hAnsi="Arial"/>
                <w:sz w:val="12"/>
                <w:szCs w:val="12"/>
                <w:b w:val="1"/>
                <w:bCs w:val="1"/>
                <w:color w:val="auto"/>
              </w:rPr>
              <w:t>Pro Forma *</w:t>
            </w:r>
          </w:p>
        </w:tc>
      </w:tr>
      <w:tr>
        <w:trPr>
          <w:trHeight w:val="220"/>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Revenues</w:t>
            </w:r>
          </w:p>
        </w:tc>
        <w:tc>
          <w:tcPr>
            <w:tcW w:w="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15"/>
        </w:trPr>
        <w:tc>
          <w:tcPr>
            <w:tcW w:w="3900" w:type="dxa"/>
            <w:vAlign w:val="bottom"/>
          </w:tcPr>
          <w:p>
            <w:pPr>
              <w:ind w:left="40"/>
              <w:spacing w:after="0"/>
              <w:rPr>
                <w:sz w:val="20"/>
                <w:szCs w:val="20"/>
                <w:color w:val="auto"/>
              </w:rPr>
            </w:pPr>
            <w:r>
              <w:rPr>
                <w:rFonts w:ascii="Arial" w:cs="Arial" w:eastAsia="Arial" w:hAnsi="Arial"/>
                <w:sz w:val="12"/>
                <w:szCs w:val="12"/>
                <w:b w:val="1"/>
                <w:bCs w:val="1"/>
                <w:color w:val="auto"/>
              </w:rPr>
              <w:t>Net sales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324,546</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84,266</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(12,659)</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2"/>
                <w:szCs w:val="12"/>
                <w:color w:val="auto"/>
              </w:rPr>
              <w:t>(3,013)</w:t>
            </w:r>
          </w:p>
        </w:tc>
        <w:tc>
          <w:tcPr>
            <w:tcW w:w="100" w:type="dxa"/>
            <w:vAlign w:val="bottom"/>
          </w:tcPr>
          <w:p>
            <w:pPr>
              <w:spacing w:after="0"/>
              <w:rPr>
                <w:sz w:val="18"/>
                <w:szCs w:val="18"/>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60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1"/>
              <w:spacing w:after="0"/>
              <w:rPr>
                <w:sz w:val="20"/>
                <w:szCs w:val="20"/>
                <w:color w:val="auto"/>
              </w:rPr>
            </w:pPr>
            <w:r>
              <w:rPr>
                <w:rFonts w:ascii="Arial" w:cs="Arial" w:eastAsia="Arial" w:hAnsi="Arial"/>
                <w:sz w:val="12"/>
                <w:szCs w:val="12"/>
                <w:color w:val="auto"/>
              </w:rPr>
              <w:t>393,140</w:t>
            </w:r>
          </w:p>
        </w:tc>
      </w:tr>
      <w:tr>
        <w:trPr>
          <w:trHeight w:val="220"/>
        </w:trPr>
        <w:tc>
          <w:tcPr>
            <w:tcW w:w="3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revenues</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2,425</w:t>
            </w:r>
          </w:p>
        </w:tc>
      </w:tr>
      <w:tr>
        <w:trPr>
          <w:trHeight w:val="200"/>
        </w:trPr>
        <w:tc>
          <w:tcPr>
            <w:tcW w:w="3900" w:type="dxa"/>
            <w:vAlign w:val="bottom"/>
          </w:tcPr>
          <w:p>
            <w:pPr>
              <w:ind w:left="140"/>
              <w:spacing w:after="0"/>
              <w:rPr>
                <w:sz w:val="20"/>
                <w:szCs w:val="20"/>
                <w:color w:val="auto"/>
              </w:rPr>
            </w:pPr>
            <w:r>
              <w:rPr>
                <w:rFonts w:ascii="Arial" w:cs="Arial" w:eastAsia="Arial" w:hAnsi="Arial"/>
                <w:sz w:val="12"/>
                <w:szCs w:val="12"/>
                <w:color w:val="auto"/>
              </w:rPr>
              <w:t>Total revenues</w:t>
            </w: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326,971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84,266</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(12,659)</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rPr>
              <w:t>(3,013)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395,565</w:t>
            </w:r>
          </w:p>
        </w:tc>
      </w:tr>
      <w:tr>
        <w:trPr>
          <w:trHeight w:val="225"/>
        </w:trPr>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5"/>
        </w:trPr>
        <w:tc>
          <w:tcPr>
            <w:tcW w:w="3900" w:type="dxa"/>
            <w:vAlign w:val="bottom"/>
          </w:tcPr>
          <w:p>
            <w:pPr>
              <w:ind w:left="40"/>
              <w:spacing w:after="0"/>
              <w:rPr>
                <w:sz w:val="20"/>
                <w:szCs w:val="20"/>
                <w:color w:val="auto"/>
              </w:rPr>
            </w:pPr>
            <w:r>
              <w:rPr>
                <w:rFonts w:ascii="Arial" w:cs="Arial" w:eastAsia="Arial" w:hAnsi="Arial"/>
                <w:sz w:val="12"/>
                <w:szCs w:val="12"/>
                <w:b w:val="1"/>
                <w:bCs w:val="1"/>
                <w:color w:val="auto"/>
              </w:rPr>
              <w:t>Cost of Sales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3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Cost of sales (exclusive of depreciation shown below)</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142,563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31,141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(5,064)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1,721</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169,851</w:t>
            </w:r>
          </w:p>
        </w:tc>
      </w:tr>
      <w:tr>
        <w:trPr>
          <w:trHeight w:val="200"/>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Gross profit</w:t>
            </w: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184,408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53,125</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(7,595)</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(2,503)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(1,721)</w:t>
            </w:r>
          </w:p>
        </w:tc>
        <w:tc>
          <w:tcPr>
            <w:tcW w:w="4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225,714</w:t>
            </w:r>
          </w:p>
        </w:tc>
      </w:tr>
      <w:tr>
        <w:trPr>
          <w:trHeight w:val="216"/>
        </w:trPr>
        <w:tc>
          <w:tcPr>
            <w:tcW w:w="3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3900" w:type="dxa"/>
            <w:vAlign w:val="bottom"/>
          </w:tcPr>
          <w:p>
            <w:pPr>
              <w:ind w:left="40"/>
              <w:spacing w:after="0"/>
              <w:rPr>
                <w:sz w:val="20"/>
                <w:szCs w:val="20"/>
                <w:color w:val="auto"/>
              </w:rPr>
            </w:pPr>
            <w:r>
              <w:rPr>
                <w:rFonts w:ascii="Arial" w:cs="Arial" w:eastAsia="Arial" w:hAnsi="Arial"/>
                <w:sz w:val="12"/>
                <w:szCs w:val="12"/>
                <w:b w:val="1"/>
                <w:bCs w:val="1"/>
                <w:color w:val="auto"/>
              </w:rPr>
              <w:t>Operating Expenses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5"/>
        </w:trPr>
        <w:tc>
          <w:tcPr>
            <w:tcW w:w="3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Advertising and promotion</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15,694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(3,316)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56,063</w:t>
            </w:r>
          </w:p>
        </w:tc>
      </w:tr>
      <w:tr>
        <w:trPr>
          <w:trHeight w:val="215"/>
        </w:trPr>
        <w:tc>
          <w:tcPr>
            <w:tcW w:w="3900" w:type="dxa"/>
            <w:vAlign w:val="bottom"/>
          </w:tcPr>
          <w:p>
            <w:pPr>
              <w:ind w:left="140"/>
              <w:spacing w:after="0"/>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44,134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9,167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(3,694)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(10,739)</w:t>
            </w:r>
          </w:p>
        </w:tc>
        <w:tc>
          <w:tcPr>
            <w:tcW w:w="600" w:type="dxa"/>
            <w:vAlign w:val="bottom"/>
            <w:gridSpan w:val="2"/>
          </w:tcPr>
          <w:p>
            <w:pPr>
              <w:ind w:left="20"/>
              <w:spacing w:after="0"/>
              <w:rPr>
                <w:sz w:val="20"/>
                <w:szCs w:val="20"/>
                <w:color w:val="auto"/>
              </w:rPr>
            </w:pPr>
            <w:r>
              <w:rPr>
                <w:rFonts w:ascii="Arial" w:cs="Arial" w:eastAsia="Arial" w:hAnsi="Arial"/>
                <w:sz w:val="12"/>
                <w:szCs w:val="12"/>
                <w:color w:val="auto"/>
              </w:rPr>
              <w:t>(d)</w:t>
            </w:r>
          </w:p>
        </w:tc>
        <w:tc>
          <w:tcPr>
            <w:tcW w:w="1000" w:type="dxa"/>
            <w:vAlign w:val="bottom"/>
          </w:tcPr>
          <w:p>
            <w:pPr>
              <w:jc w:val="right"/>
              <w:ind w:right="41"/>
              <w:spacing w:after="0"/>
              <w:rPr>
                <w:sz w:val="20"/>
                <w:szCs w:val="20"/>
                <w:color w:val="auto"/>
              </w:rPr>
            </w:pPr>
            <w:r>
              <w:rPr>
                <w:rFonts w:ascii="Arial" w:cs="Arial" w:eastAsia="Arial" w:hAnsi="Arial"/>
                <w:sz w:val="12"/>
                <w:szCs w:val="12"/>
                <w:color w:val="auto"/>
              </w:rPr>
              <w:t>38,826</w:t>
            </w:r>
          </w:p>
        </w:tc>
      </w:tr>
      <w:tr>
        <w:trPr>
          <w:trHeight w:val="220"/>
        </w:trPr>
        <w:tc>
          <w:tcPr>
            <w:tcW w:w="3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and amortization</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4,875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(1,318)</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9,601</w:t>
            </w:r>
          </w:p>
        </w:tc>
      </w:tr>
      <w:tr>
        <w:trPr>
          <w:trHeight w:val="200"/>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Total operating expenses</w:t>
            </w: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95,087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29,736</w:t>
            </w: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(7,768)</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(508)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(12,057)</w:t>
            </w:r>
          </w:p>
        </w:tc>
        <w:tc>
          <w:tcPr>
            <w:tcW w:w="4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104,490</w:t>
            </w:r>
          </w:p>
        </w:tc>
      </w:tr>
      <w:tr>
        <w:trPr>
          <w:trHeight w:val="200"/>
        </w:trPr>
        <w:tc>
          <w:tcPr>
            <w:tcW w:w="39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Operating income</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89,321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23,389</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173</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(1,995)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10,336</w:t>
            </w:r>
          </w:p>
        </w:tc>
        <w:tc>
          <w:tcPr>
            <w:tcW w:w="4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121,224</w:t>
            </w:r>
          </w:p>
        </w:tc>
      </w:tr>
      <w:tr>
        <w:trPr>
          <w:trHeight w:val="216"/>
        </w:trPr>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Other (income) expense</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5"/>
        </w:trPr>
        <w:tc>
          <w:tcPr>
            <w:tcW w:w="3900" w:type="dxa"/>
            <w:vAlign w:val="bottom"/>
          </w:tcPr>
          <w:p>
            <w:pPr>
              <w:ind w:left="140"/>
              <w:spacing w:after="0"/>
              <w:rPr>
                <w:sz w:val="20"/>
                <w:szCs w:val="20"/>
                <w:color w:val="auto"/>
              </w:rPr>
            </w:pPr>
            <w:r>
              <w:rPr>
                <w:rFonts w:ascii="Arial" w:cs="Arial" w:eastAsia="Arial" w:hAnsi="Arial"/>
                <w:sz w:val="12"/>
                <w:szCs w:val="12"/>
                <w:color w:val="auto"/>
              </w:rPr>
              <w:t>Interest expense, net</w:t>
            </w:r>
          </w:p>
        </w:tc>
        <w:tc>
          <w:tcPr>
            <w:tcW w:w="8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32,846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16,203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1,900</w:t>
            </w:r>
          </w:p>
        </w:tc>
        <w:tc>
          <w:tcPr>
            <w:tcW w:w="600" w:type="dxa"/>
            <w:vAlign w:val="bottom"/>
            <w:gridSpan w:val="2"/>
          </w:tcPr>
          <w:p>
            <w:pPr>
              <w:ind w:left="20"/>
              <w:spacing w:after="0"/>
              <w:rPr>
                <w:sz w:val="20"/>
                <w:szCs w:val="20"/>
                <w:color w:val="auto"/>
              </w:rPr>
            </w:pPr>
            <w:r>
              <w:rPr>
                <w:rFonts w:ascii="Arial" w:cs="Arial" w:eastAsia="Arial" w:hAnsi="Arial"/>
                <w:sz w:val="12"/>
                <w:szCs w:val="12"/>
                <w:color w:val="auto"/>
              </w:rPr>
              <w:t>(f)</w:t>
            </w:r>
          </w:p>
        </w:tc>
        <w:tc>
          <w:tcPr>
            <w:tcW w:w="1000" w:type="dxa"/>
            <w:vAlign w:val="bottom"/>
          </w:tcPr>
          <w:p>
            <w:pPr>
              <w:jc w:val="right"/>
              <w:ind w:right="41"/>
              <w:spacing w:after="0"/>
              <w:rPr>
                <w:sz w:val="20"/>
                <w:szCs w:val="20"/>
                <w:color w:val="auto"/>
              </w:rPr>
            </w:pPr>
            <w:r>
              <w:rPr>
                <w:rFonts w:ascii="Arial" w:cs="Arial" w:eastAsia="Arial" w:hAnsi="Arial"/>
                <w:sz w:val="12"/>
                <w:szCs w:val="12"/>
                <w:color w:val="auto"/>
              </w:rPr>
              <w:t>50,949</w:t>
            </w:r>
          </w:p>
        </w:tc>
      </w:tr>
      <w:tr>
        <w:trPr>
          <w:trHeight w:val="220"/>
        </w:trPr>
        <w:tc>
          <w:tcPr>
            <w:tcW w:w="3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non-operating (income) expense</w:t>
            </w: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154</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154</w:t>
            </w:r>
          </w:p>
        </w:tc>
      </w:tr>
      <w:tr>
        <w:trPr>
          <w:trHeight w:val="200"/>
        </w:trPr>
        <w:tc>
          <w:tcPr>
            <w:tcW w:w="3900" w:type="dxa"/>
            <w:vAlign w:val="bottom"/>
          </w:tcPr>
          <w:p>
            <w:pPr>
              <w:ind w:left="140"/>
              <w:spacing w:after="0"/>
              <w:rPr>
                <w:sz w:val="20"/>
                <w:szCs w:val="20"/>
                <w:color w:val="auto"/>
              </w:rPr>
            </w:pPr>
            <w:r>
              <w:rPr>
                <w:rFonts w:ascii="Arial" w:cs="Arial" w:eastAsia="Arial" w:hAnsi="Arial"/>
                <w:sz w:val="12"/>
                <w:szCs w:val="12"/>
                <w:color w:val="auto"/>
              </w:rPr>
              <w:t>Total other expense</w:t>
            </w:r>
          </w:p>
        </w:tc>
        <w:tc>
          <w:tcPr>
            <w:tcW w:w="80" w:type="dxa"/>
            <w:vAlign w:val="bottom"/>
          </w:tcPr>
          <w:p>
            <w:pPr>
              <w:spacing w:after="0"/>
              <w:rPr>
                <w:sz w:val="17"/>
                <w:szCs w:val="17"/>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32,846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16,357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1,900</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2"/>
                <w:szCs w:val="12"/>
                <w:color w:val="auto"/>
              </w:rPr>
              <w:t>51,103</w:t>
            </w:r>
          </w:p>
        </w:tc>
      </w:tr>
      <w:tr>
        <w:trPr>
          <w:trHeight w:val="205"/>
        </w:trPr>
        <w:tc>
          <w:tcPr>
            <w:tcW w:w="390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2"/>
                <w:szCs w:val="12"/>
                <w:color w:val="auto"/>
              </w:rPr>
              <w:t>Income before income taxes</w:t>
            </w: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56,475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7,032</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(1,995)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8,436</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70,121</w:t>
            </w:r>
          </w:p>
        </w:tc>
      </w:tr>
      <w:tr>
        <w:trPr>
          <w:trHeight w:val="215"/>
        </w:trPr>
        <w:tc>
          <w:tcPr>
            <w:tcW w:w="390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Provision for income taxes</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23,280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2,860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306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(811)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3,374</w:t>
            </w:r>
          </w:p>
        </w:tc>
        <w:tc>
          <w:tcPr>
            <w:tcW w:w="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29,009</w:t>
            </w:r>
          </w:p>
        </w:tc>
      </w:tr>
      <w:tr>
        <w:trPr>
          <w:trHeight w:val="194"/>
        </w:trPr>
        <w:tc>
          <w:tcPr>
            <w:tcW w:w="3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33,195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5,062</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41,112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39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220"/>
        </w:trPr>
        <w:tc>
          <w:tcPr>
            <w:tcW w:w="3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Earnings per share:</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9"/>
        </w:trPr>
        <w:tc>
          <w:tcPr>
            <w:tcW w:w="39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Basic</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0.64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0.79</w:t>
            </w:r>
          </w:p>
        </w:tc>
      </w:tr>
      <w:tr>
        <w:trPr>
          <w:trHeight w:val="160"/>
        </w:trPr>
        <w:tc>
          <w:tcPr>
            <w:tcW w:w="3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0.63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39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220"/>
        </w:trPr>
        <w:tc>
          <w:tcPr>
            <w:tcW w:w="3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Weighted average shares outstanding:</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9"/>
        </w:trPr>
        <w:tc>
          <w:tcPr>
            <w:tcW w:w="39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Basic</w:t>
            </w: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52,023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52,023</w:t>
            </w:r>
          </w:p>
        </w:tc>
      </w:tr>
      <w:tr>
        <w:trPr>
          <w:trHeight w:val="16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Diluted</w:t>
            </w:r>
          </w:p>
        </w:tc>
        <w:tc>
          <w:tcPr>
            <w:tcW w:w="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52,564</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52,564</w:t>
            </w:r>
          </w:p>
        </w:tc>
      </w:tr>
      <w:tr>
        <w:trPr>
          <w:trHeight w:val="20"/>
        </w:trPr>
        <w:tc>
          <w:tcPr>
            <w:tcW w:w="3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notes are an integral part of this pro forma combined statement of operations.</w:t>
      </w:r>
    </w:p>
    <w:p>
      <w:pPr>
        <w:sectPr>
          <w:pgSz w:w="11900" w:h="16838" w:orient="portrait"/>
          <w:cols w:equalWidth="0" w:num="1">
            <w:col w:w="10800"/>
          </w:cols>
          <w:pgMar w:left="220" w:top="501" w:right="879" w:bottom="1440" w:gutter="0" w:footer="0" w:header="0"/>
        </w:sectPr>
      </w:pPr>
    </w:p>
    <w:bookmarkStart w:id="55" w:name="page56"/>
    <w:bookmarkEnd w:id="55"/>
    <w:p>
      <w:pPr>
        <w:jc w:val="center"/>
        <w:ind w:right="-91"/>
        <w:spacing w:after="0"/>
        <w:rPr>
          <w:sz w:val="20"/>
          <w:szCs w:val="20"/>
          <w:color w:val="auto"/>
        </w:rPr>
      </w:pPr>
      <w:r>
        <w:rPr>
          <w:rFonts w:ascii="Arial" w:cs="Arial" w:eastAsia="Arial" w:hAnsi="Arial"/>
          <w:sz w:val="15"/>
          <w:szCs w:val="15"/>
          <w:color w:val="auto"/>
        </w:rPr>
        <w:t>Notes to Pro Forma Combined Statements of Operations</w:t>
      </w:r>
    </w:p>
    <w:p>
      <w:pPr>
        <w:spacing w:after="0" w:line="14" w:lineRule="exact"/>
        <w:rPr>
          <w:sz w:val="20"/>
          <w:szCs w:val="20"/>
          <w:color w:val="auto"/>
        </w:rPr>
      </w:pPr>
    </w:p>
    <w:p>
      <w:pPr>
        <w:jc w:val="center"/>
        <w:ind w:right="-91"/>
        <w:spacing w:after="0"/>
        <w:rPr>
          <w:sz w:val="20"/>
          <w:szCs w:val="20"/>
          <w:color w:val="auto"/>
        </w:rPr>
      </w:pPr>
      <w:r>
        <w:rPr>
          <w:rFonts w:ascii="Arial" w:cs="Arial" w:eastAsia="Arial" w:hAnsi="Arial"/>
          <w:sz w:val="15"/>
          <w:szCs w:val="15"/>
          <w:color w:val="auto"/>
        </w:rPr>
        <w:t>(unaudited)</w:t>
      </w:r>
    </w:p>
    <w:p>
      <w:pPr>
        <w:spacing w:after="0" w:line="200" w:lineRule="exact"/>
        <w:rPr>
          <w:sz w:val="20"/>
          <w:szCs w:val="20"/>
          <w:color w:val="auto"/>
        </w:rPr>
      </w:pPr>
    </w:p>
    <w:p>
      <w:pPr>
        <w:spacing w:after="0" w:line="386" w:lineRule="exact"/>
        <w:rPr>
          <w:sz w:val="20"/>
          <w:szCs w:val="20"/>
          <w:color w:val="auto"/>
        </w:rPr>
      </w:pPr>
    </w:p>
    <w:p>
      <w:pPr>
        <w:ind w:left="-8" w:firstLine="8"/>
        <w:spacing w:after="0" w:line="249" w:lineRule="auto"/>
        <w:tabs>
          <w:tab w:leader="none" w:pos="199"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unaudited pro forma consolidated financial statements have been prepared to reflect the acquisition of Insight and the application of purchase accounting under ASC 805 "Business Combinations". The unaudited pro forma combined statement of operations for the fiscal year ended March 31, 2014 and for the six months ended September 30, 2014 have been prepared to illustrate the effects of the Insight acquisition as if it occurred on April 1, 2013. Insight has historically used a December 31 fiscal year end. For purposes of the fiscal year ended March 31, 2014 data herein, a historical year ended December 31, 2013 was used for Insight. Similarly for the six months ended September 30, 2014, a historical six months ended June 30, 2014 was used for Insight.</w:t>
      </w:r>
    </w:p>
    <w:p>
      <w:pPr>
        <w:spacing w:after="0" w:line="336" w:lineRule="exact"/>
        <w:rPr>
          <w:sz w:val="20"/>
          <w:szCs w:val="20"/>
          <w:color w:val="auto"/>
        </w:rPr>
      </w:pPr>
    </w:p>
    <w:p>
      <w:pPr>
        <w:ind w:left="-8" w:right="60" w:firstLine="8"/>
        <w:spacing w:after="0" w:line="264" w:lineRule="auto"/>
        <w:tabs>
          <w:tab w:leader="none" w:pos="191" w:val="left"/>
        </w:tabs>
        <w:numPr>
          <w:ilvl w:val="0"/>
          <w:numId w:val="3"/>
        </w:numPr>
        <w:rPr>
          <w:rFonts w:ascii="Arial" w:cs="Arial" w:eastAsia="Arial" w:hAnsi="Arial"/>
          <w:sz w:val="15"/>
          <w:szCs w:val="15"/>
          <w:color w:val="auto"/>
        </w:rPr>
      </w:pPr>
      <w:r>
        <w:rPr>
          <w:rFonts w:ascii="Arial" w:cs="Arial" w:eastAsia="Arial" w:hAnsi="Arial"/>
          <w:sz w:val="15"/>
          <w:szCs w:val="15"/>
          <w:color w:val="auto"/>
        </w:rPr>
        <w:t>Pursuant to the terms of the FTC approval of the acquisition, we were required to divest a competing brand that was acquired from Insight. We completed the sale of such brand on the same day that we acquired it from Insight. Therefore, we have excluded the operating results of this brand from our pro forma data.</w:t>
      </w:r>
    </w:p>
    <w:p>
      <w:pPr>
        <w:spacing w:after="0" w:line="323" w:lineRule="exact"/>
        <w:rPr>
          <w:rFonts w:ascii="Arial" w:cs="Arial" w:eastAsia="Arial" w:hAnsi="Arial"/>
          <w:sz w:val="15"/>
          <w:szCs w:val="15"/>
          <w:color w:val="auto"/>
        </w:rPr>
      </w:pPr>
    </w:p>
    <w:p>
      <w:pPr>
        <w:ind w:left="-8" w:firstLine="8"/>
        <w:spacing w:after="0" w:line="341" w:lineRule="auto"/>
        <w:tabs>
          <w:tab w:leader="none" w:pos="199" w:val="left"/>
        </w:tabs>
        <w:numPr>
          <w:ilvl w:val="0"/>
          <w:numId w:val="3"/>
        </w:numPr>
        <w:rPr>
          <w:rFonts w:ascii="Arial" w:cs="Arial" w:eastAsia="Arial" w:hAnsi="Arial"/>
          <w:sz w:val="13"/>
          <w:szCs w:val="13"/>
          <w:color w:val="auto"/>
        </w:rPr>
      </w:pPr>
      <w:r>
        <w:rPr>
          <w:rFonts w:ascii="Arial" w:cs="Arial" w:eastAsia="Arial" w:hAnsi="Arial"/>
          <w:sz w:val="13"/>
          <w:szCs w:val="13"/>
          <w:color w:val="auto"/>
        </w:rPr>
        <w:t>Since the acquisition occurred on September 3, 2014, the results of the acquired Insight business are included in the historical Prestige column for approximately one month in the six months ended September 30, 2014. Therefore, these results are being eliminated to avoid double counting in our pro forma data as they are also included in the Insight historical column.</w:t>
      </w:r>
    </w:p>
    <w:p>
      <w:pPr>
        <w:spacing w:after="0" w:line="278" w:lineRule="exact"/>
        <w:rPr>
          <w:rFonts w:ascii="Arial" w:cs="Arial" w:eastAsia="Arial" w:hAnsi="Arial"/>
          <w:sz w:val="13"/>
          <w:szCs w:val="13"/>
          <w:color w:val="auto"/>
        </w:rPr>
      </w:pPr>
    </w:p>
    <w:p>
      <w:pPr>
        <w:ind w:left="192" w:hanging="192"/>
        <w:spacing w:after="0"/>
        <w:tabs>
          <w:tab w:leader="none" w:pos="192" w:val="left"/>
        </w:tabs>
        <w:numPr>
          <w:ilvl w:val="0"/>
          <w:numId w:val="3"/>
        </w:numPr>
        <w:rPr>
          <w:rFonts w:ascii="Arial" w:cs="Arial" w:eastAsia="Arial" w:hAnsi="Arial"/>
          <w:sz w:val="15"/>
          <w:szCs w:val="15"/>
          <w:color w:val="auto"/>
        </w:rPr>
      </w:pPr>
      <w:r>
        <w:rPr>
          <w:rFonts w:ascii="Arial" w:cs="Arial" w:eastAsia="Arial" w:hAnsi="Arial"/>
          <w:sz w:val="15"/>
          <w:szCs w:val="15"/>
          <w:color w:val="auto"/>
        </w:rPr>
        <w:t>Reflects a reclassification of Insight's shipping and warehousing costs from General and Administrative costs to Cost of Sales to conform with the Prestige presentation.</w:t>
      </w:r>
    </w:p>
    <w:p>
      <w:pPr>
        <w:spacing w:after="0" w:line="116" w:lineRule="exact"/>
        <w:rPr>
          <w:sz w:val="20"/>
          <w:szCs w:val="20"/>
          <w:color w:val="auto"/>
        </w:rPr>
      </w:pPr>
    </w:p>
    <w:tbl>
      <w:tblPr>
        <w:tblLayout w:type="fixed"/>
        <w:tblInd w:w="1072" w:type="dxa"/>
        <w:tblCellMar>
          <w:top w:w="0" w:type="dxa"/>
          <w:left w:w="0" w:type="dxa"/>
          <w:bottom w:w="0" w:type="dxa"/>
          <w:right w:w="0" w:type="dxa"/>
        </w:tblCellMar>
      </w:tblPr>
      <w:tr>
        <w:trPr>
          <w:trHeight w:val="172"/>
        </w:trPr>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9"/>
              </w:rPr>
              <w:t>Fiscal Year Ended March 31,</w:t>
            </w:r>
          </w:p>
        </w:tc>
        <w:tc>
          <w:tcPr>
            <w:tcW w:w="360" w:type="dxa"/>
            <w:vAlign w:val="bottom"/>
            <w:gridSpan w:val="2"/>
          </w:tcPr>
          <w:p>
            <w:pPr>
              <w:spacing w:after="0"/>
              <w:rPr>
                <w:sz w:val="14"/>
                <w:szCs w:val="14"/>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87"/>
              </w:rPr>
              <w:t>Six Months Ended September 30,</w:t>
            </w:r>
          </w:p>
        </w:tc>
        <w:tc>
          <w:tcPr>
            <w:tcW w:w="20" w:type="dxa"/>
            <w:vAlign w:val="bottom"/>
          </w:tcPr>
          <w:p>
            <w:pPr>
              <w:spacing w:after="0"/>
              <w:rPr>
                <w:sz w:val="14"/>
                <w:szCs w:val="14"/>
                <w:color w:val="auto"/>
              </w:rPr>
            </w:pPr>
          </w:p>
        </w:tc>
      </w:tr>
      <w:tr>
        <w:trPr>
          <w:trHeight w:val="156"/>
        </w:trPr>
        <w:tc>
          <w:tcPr>
            <w:tcW w:w="4860" w:type="dxa"/>
            <w:vAlign w:val="bottom"/>
            <w:gridSpan w:val="3"/>
          </w:tcPr>
          <w:p>
            <w:pPr>
              <w:ind w:left="20"/>
              <w:spacing w:after="0" w:line="156" w:lineRule="exact"/>
              <w:rPr>
                <w:sz w:val="20"/>
                <w:szCs w:val="20"/>
                <w:color w:val="auto"/>
              </w:rPr>
            </w:pPr>
            <w:r>
              <w:rPr>
                <w:rFonts w:ascii="Arial" w:cs="Arial" w:eastAsia="Arial" w:hAnsi="Arial"/>
                <w:sz w:val="15"/>
                <w:szCs w:val="15"/>
                <w:i w:val="1"/>
                <w:iCs w:val="1"/>
                <w:color w:val="auto"/>
              </w:rPr>
              <w:t xml:space="preserve">($ in thousands) </w:t>
            </w:r>
            <w:r>
              <w:rPr>
                <w:rFonts w:ascii="Arial" w:cs="Arial" w:eastAsia="Arial" w:hAnsi="Arial"/>
                <w:sz w:val="15"/>
                <w:szCs w:val="15"/>
                <w:b w:val="1"/>
                <w:bCs w:val="1"/>
                <w:color w:val="auto"/>
              </w:rPr>
              <w:t>Cost of Sales</w:t>
            </w:r>
          </w:p>
        </w:tc>
        <w:tc>
          <w:tcPr>
            <w:tcW w:w="120" w:type="dxa"/>
            <w:vAlign w:val="bottom"/>
          </w:tcPr>
          <w:p>
            <w:pPr>
              <w:spacing w:after="0"/>
              <w:rPr>
                <w:sz w:val="13"/>
                <w:szCs w:val="13"/>
                <w:color w:val="auto"/>
              </w:rPr>
            </w:pPr>
          </w:p>
        </w:tc>
        <w:tc>
          <w:tcPr>
            <w:tcW w:w="1860" w:type="dxa"/>
            <w:vAlign w:val="bottom"/>
            <w:gridSpan w:val="4"/>
          </w:tcPr>
          <w:p>
            <w:pPr>
              <w:jc w:val="right"/>
              <w:ind w:right="760"/>
              <w:spacing w:after="0" w:line="156" w:lineRule="exact"/>
              <w:rPr>
                <w:sz w:val="20"/>
                <w:szCs w:val="20"/>
                <w:color w:val="auto"/>
              </w:rPr>
            </w:pPr>
            <w:r>
              <w:rPr>
                <w:rFonts w:ascii="Arial" w:cs="Arial" w:eastAsia="Arial" w:hAnsi="Arial"/>
                <w:sz w:val="15"/>
                <w:szCs w:val="15"/>
                <w:b w:val="1"/>
                <w:bCs w:val="1"/>
                <w:color w:val="auto"/>
              </w:rPr>
              <w:t>2014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jc w:val="right"/>
              <w:spacing w:after="0" w:line="156" w:lineRule="exact"/>
              <w:rPr>
                <w:sz w:val="20"/>
                <w:szCs w:val="20"/>
                <w:color w:val="auto"/>
              </w:rPr>
            </w:pPr>
            <w:r>
              <w:rPr>
                <w:rFonts w:ascii="Arial" w:cs="Arial" w:eastAsia="Arial" w:hAnsi="Arial"/>
                <w:sz w:val="15"/>
                <w:szCs w:val="15"/>
                <w:b w:val="1"/>
                <w:bCs w:val="1"/>
                <w:color w:val="auto"/>
                <w:w w:val="83"/>
              </w:rPr>
              <w:t>2014</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5"/>
        </w:trPr>
        <w:tc>
          <w:tcPr>
            <w:tcW w:w="100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5"/>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Reclassification of Shipping costs from G&amp;A to Cost of Sales</w:t>
            </w: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2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3,306</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1,721</w:t>
            </w:r>
          </w:p>
        </w:tc>
        <w:tc>
          <w:tcPr>
            <w:tcW w:w="20" w:type="dxa"/>
            <w:vAlign w:val="bottom"/>
            <w:tcBorders>
              <w:bottom w:val="single" w:sz="8" w:color="auto"/>
            </w:tcBorders>
            <w:shd w:val="clear" w:color="auto" w:fill="CCEEFF"/>
          </w:tcPr>
          <w:p>
            <w:pPr>
              <w:spacing w:after="0"/>
              <w:rPr>
                <w:sz w:val="18"/>
                <w:szCs w:val="18"/>
                <w:color w:val="auto"/>
              </w:rPr>
            </w:pPr>
          </w:p>
        </w:tc>
      </w:tr>
      <w:tr>
        <w:trPr>
          <w:trHeight w:val="205"/>
        </w:trPr>
        <w:tc>
          <w:tcPr>
            <w:tcW w:w="4860" w:type="dxa"/>
            <w:vAlign w:val="bottom"/>
            <w:gridSpan w:val="3"/>
          </w:tcPr>
          <w:p>
            <w:pPr>
              <w:ind w:left="20"/>
              <w:spacing w:after="0"/>
              <w:rPr>
                <w:sz w:val="20"/>
                <w:szCs w:val="20"/>
                <w:color w:val="auto"/>
              </w:rPr>
            </w:pPr>
            <w:r>
              <w:rPr>
                <w:rFonts w:ascii="Arial" w:cs="Arial" w:eastAsia="Arial" w:hAnsi="Arial"/>
                <w:sz w:val="12"/>
                <w:szCs w:val="12"/>
                <w:color w:val="auto"/>
              </w:rPr>
              <w:t>Total adjustments</w:t>
            </w: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2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2"/>
                <w:szCs w:val="12"/>
                <w:b w:val="1"/>
                <w:bCs w:val="1"/>
                <w:color w:val="auto"/>
              </w:rPr>
              <w:t>3,306</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1,721</w:t>
            </w:r>
          </w:p>
        </w:tc>
        <w:tc>
          <w:tcPr>
            <w:tcW w:w="20" w:type="dxa"/>
            <w:vAlign w:val="bottom"/>
            <w:tcBorders>
              <w:bottom w:val="single" w:sz="8" w:color="auto"/>
            </w:tcBorders>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8" w:right="300" w:firstLine="8"/>
        <w:spacing w:after="0" w:line="264" w:lineRule="auto"/>
        <w:tabs>
          <w:tab w:leader="none" w:pos="199" w:val="left"/>
        </w:tabs>
        <w:numPr>
          <w:ilvl w:val="0"/>
          <w:numId w:val="4"/>
        </w:numPr>
        <w:rPr>
          <w:rFonts w:ascii="Arial" w:cs="Arial" w:eastAsia="Arial" w:hAnsi="Arial"/>
          <w:sz w:val="15"/>
          <w:szCs w:val="15"/>
          <w:color w:val="auto"/>
        </w:rPr>
      </w:pPr>
      <w:r>
        <w:rPr>
          <w:rFonts w:ascii="Arial" w:cs="Arial" w:eastAsia="Arial" w:hAnsi="Arial"/>
          <w:sz w:val="15"/>
          <w:szCs w:val="15"/>
          <w:color w:val="auto"/>
        </w:rPr>
        <w:t>Reflects a reclassification of the Insight's shipping costs from General and Administrative costs to Cost of Sales to conform with the Prestige presentation. Also reflects an adjustment to remove the costs and expenses of the transaction, as these costs would not have a continuing impact on the combined company.</w:t>
      </w:r>
    </w:p>
    <w:p>
      <w:pPr>
        <w:spacing w:after="0" w:line="85" w:lineRule="exact"/>
        <w:rPr>
          <w:sz w:val="20"/>
          <w:szCs w:val="20"/>
          <w:color w:val="auto"/>
        </w:rPr>
      </w:pPr>
    </w:p>
    <w:tbl>
      <w:tblPr>
        <w:tblLayout w:type="fixed"/>
        <w:tblInd w:w="1132" w:type="dxa"/>
        <w:tblCellMar>
          <w:top w:w="0" w:type="dxa"/>
          <w:left w:w="0" w:type="dxa"/>
          <w:bottom w:w="0" w:type="dxa"/>
          <w:right w:w="0" w:type="dxa"/>
        </w:tblCellMar>
      </w:tblPr>
      <w:tr>
        <w:trPr>
          <w:trHeight w:val="172"/>
        </w:trPr>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5"/>
                <w:szCs w:val="15"/>
                <w:b w:val="1"/>
                <w:bCs w:val="1"/>
                <w:color w:val="auto"/>
                <w:w w:val="89"/>
              </w:rPr>
              <w:t>Fiscal Year Ended March 31,</w:t>
            </w:r>
          </w:p>
        </w:tc>
        <w:tc>
          <w:tcPr>
            <w:tcW w:w="2020" w:type="dxa"/>
            <w:vAlign w:val="bottom"/>
            <w:gridSpan w:val="5"/>
          </w:tcPr>
          <w:p>
            <w:pPr>
              <w:jc w:val="center"/>
              <w:spacing w:after="0"/>
              <w:rPr>
                <w:sz w:val="20"/>
                <w:szCs w:val="20"/>
                <w:color w:val="auto"/>
              </w:rPr>
            </w:pPr>
            <w:r>
              <w:rPr>
                <w:rFonts w:ascii="Arial" w:cs="Arial" w:eastAsia="Arial" w:hAnsi="Arial"/>
                <w:sz w:val="15"/>
                <w:szCs w:val="15"/>
                <w:b w:val="1"/>
                <w:bCs w:val="1"/>
                <w:color w:val="auto"/>
                <w:w w:val="87"/>
              </w:rPr>
              <w:t>Six Months Ended September</w:t>
            </w:r>
          </w:p>
        </w:tc>
      </w:tr>
      <w:tr>
        <w:trPr>
          <w:trHeight w:val="156"/>
        </w:trPr>
        <w:tc>
          <w:tcPr>
            <w:tcW w:w="4980" w:type="dxa"/>
            <w:vAlign w:val="bottom"/>
            <w:gridSpan w:val="3"/>
          </w:tcPr>
          <w:p>
            <w:pPr>
              <w:ind w:left="20"/>
              <w:spacing w:after="0" w:line="156" w:lineRule="exact"/>
              <w:rPr>
                <w:sz w:val="20"/>
                <w:szCs w:val="20"/>
                <w:color w:val="auto"/>
              </w:rPr>
            </w:pPr>
            <w:r>
              <w:rPr>
                <w:rFonts w:ascii="Arial" w:cs="Arial" w:eastAsia="Arial" w:hAnsi="Arial"/>
                <w:sz w:val="15"/>
                <w:szCs w:val="15"/>
                <w:i w:val="1"/>
                <w:iCs w:val="1"/>
                <w:color w:val="auto"/>
              </w:rPr>
              <w:t xml:space="preserve">($ in thousands) </w:t>
            </w:r>
            <w:r>
              <w:rPr>
                <w:rFonts w:ascii="Arial" w:cs="Arial" w:eastAsia="Arial" w:hAnsi="Arial"/>
                <w:sz w:val="15"/>
                <w:szCs w:val="15"/>
                <w:b w:val="1"/>
                <w:bCs w:val="1"/>
                <w:color w:val="auto"/>
              </w:rPr>
              <w:t>General and Administrative</w:t>
            </w:r>
          </w:p>
        </w:tc>
        <w:tc>
          <w:tcPr>
            <w:tcW w:w="100" w:type="dxa"/>
            <w:vAlign w:val="bottom"/>
          </w:tcPr>
          <w:p>
            <w:pPr>
              <w:spacing w:after="0"/>
              <w:rPr>
                <w:sz w:val="13"/>
                <w:szCs w:val="13"/>
                <w:color w:val="auto"/>
              </w:rPr>
            </w:pPr>
          </w:p>
        </w:tc>
        <w:tc>
          <w:tcPr>
            <w:tcW w:w="106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5"/>
                <w:szCs w:val="15"/>
                <w:b w:val="1"/>
                <w:bCs w:val="1"/>
                <w:color w:val="auto"/>
              </w:rPr>
              <w:t>2014</w:t>
            </w: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680"/>
              <w:spacing w:after="0" w:line="156" w:lineRule="exact"/>
              <w:rPr>
                <w:sz w:val="20"/>
                <w:szCs w:val="20"/>
                <w:color w:val="auto"/>
              </w:rPr>
            </w:pPr>
            <w:r>
              <w:rPr>
                <w:rFonts w:ascii="Arial" w:cs="Arial" w:eastAsia="Arial" w:hAnsi="Arial"/>
                <w:sz w:val="15"/>
                <w:szCs w:val="15"/>
                <w:b w:val="1"/>
                <w:bCs w:val="1"/>
                <w:color w:val="auto"/>
                <w:w w:val="82"/>
              </w:rPr>
              <w:t>30, 2014</w:t>
            </w:r>
          </w:p>
        </w:tc>
        <w:tc>
          <w:tcPr>
            <w:tcW w:w="80" w:type="dxa"/>
            <w:vAlign w:val="bottom"/>
          </w:tcPr>
          <w:p>
            <w:pPr>
              <w:spacing w:after="0"/>
              <w:rPr>
                <w:sz w:val="13"/>
                <w:szCs w:val="13"/>
                <w:color w:val="auto"/>
              </w:rPr>
            </w:pPr>
          </w:p>
        </w:tc>
      </w:tr>
      <w:tr>
        <w:trPr>
          <w:trHeight w:val="35"/>
        </w:trPr>
        <w:tc>
          <w:tcPr>
            <w:tcW w:w="1000" w:type="dxa"/>
            <w:vAlign w:val="bottom"/>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20"/>
        </w:trPr>
        <w:tc>
          <w:tcPr>
            <w:tcW w:w="49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Reclassification of Shipping costs from G&amp;A to Cost of Sales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94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(3,306)</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(1,721)</w:t>
            </w:r>
          </w:p>
        </w:tc>
      </w:tr>
      <w:tr>
        <w:trPr>
          <w:trHeight w:val="215"/>
        </w:trPr>
        <w:tc>
          <w:tcPr>
            <w:tcW w:w="4980" w:type="dxa"/>
            <w:vAlign w:val="bottom"/>
            <w:gridSpan w:val="3"/>
          </w:tcPr>
          <w:p>
            <w:pPr>
              <w:ind w:left="20"/>
              <w:spacing w:after="0"/>
              <w:rPr>
                <w:sz w:val="20"/>
                <w:szCs w:val="20"/>
                <w:color w:val="auto"/>
              </w:rPr>
            </w:pPr>
            <w:r>
              <w:rPr>
                <w:rFonts w:ascii="Arial" w:cs="Arial" w:eastAsia="Arial" w:hAnsi="Arial"/>
                <w:sz w:val="12"/>
                <w:szCs w:val="12"/>
                <w:color w:val="auto"/>
              </w:rPr>
              <w:t>Transaction costs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(9,018)</w:t>
            </w:r>
          </w:p>
        </w:tc>
      </w:tr>
      <w:tr>
        <w:trPr>
          <w:trHeight w:val="205"/>
        </w:trPr>
        <w:tc>
          <w:tcPr>
            <w:tcW w:w="49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Total adjustments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940" w:type="dxa"/>
            <w:vAlign w:val="bottom"/>
            <w:tcBorders>
              <w:top w:val="single" w:sz="8" w:color="auto"/>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(3,306)</w:t>
            </w:r>
          </w:p>
        </w:tc>
        <w:tc>
          <w:tcPr>
            <w:tcW w:w="160" w:type="dxa"/>
            <w:vAlign w:val="bottom"/>
            <w:tcBorders>
              <w:top w:val="single" w:sz="8" w:color="CCEEFF"/>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2"/>
                <w:szCs w:val="12"/>
                <w:b w:val="1"/>
                <w:bCs w:val="1"/>
                <w:color w:val="auto"/>
                <w:w w:val="89"/>
              </w:rPr>
              <w:t>$</w:t>
            </w:r>
          </w:p>
        </w:tc>
        <w:tc>
          <w:tcPr>
            <w:tcW w:w="12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(10,739)</w:t>
            </w:r>
          </w:p>
        </w:tc>
      </w:tr>
      <w:tr>
        <w:trPr>
          <w:trHeight w:val="20"/>
        </w:trPr>
        <w:tc>
          <w:tcPr>
            <w:tcW w:w="1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32"/>
          </w:cols>
          <w:pgMar w:left="228" w:top="810" w:right="339" w:bottom="1440" w:gutter="0" w:footer="0" w:header="0"/>
        </w:sectPr>
      </w:pPr>
    </w:p>
    <w:bookmarkStart w:id="56" w:name="page57"/>
    <w:bookmarkEnd w:id="56"/>
    <w:p>
      <w:pPr>
        <w:ind w:left="-8" w:right="160" w:firstLine="8"/>
        <w:spacing w:after="0" w:line="264" w:lineRule="auto"/>
        <w:tabs>
          <w:tab w:leader="none" w:pos="191"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These adjustments represent the amortization expense related to the finite-lived amortizable intangible assets recognized for the Insight acquisition. The amounts associated with the Insight acquisition have been estimated based upon preliminary valuations. The following table summarizes the preliminary purchase price allocation.</w:t>
      </w:r>
    </w:p>
    <w:p>
      <w:pPr>
        <w:spacing w:after="0" w:line="85" w:lineRule="exact"/>
        <w:rPr>
          <w:sz w:val="20"/>
          <w:szCs w:val="20"/>
          <w:color w:val="auto"/>
        </w:rPr>
      </w:pPr>
    </w:p>
    <w:tbl>
      <w:tblPr>
        <w:tblLayout w:type="fixed"/>
        <w:tblInd w:w="252" w:type="dxa"/>
        <w:tblCellMar>
          <w:top w:w="0" w:type="dxa"/>
          <w:left w:w="0" w:type="dxa"/>
          <w:bottom w:w="0" w:type="dxa"/>
          <w:right w:w="0" w:type="dxa"/>
        </w:tblCellMar>
      </w:tblPr>
      <w:tr>
        <w:trPr>
          <w:trHeight w:val="172"/>
        </w:trPr>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gridSpan w:val="6"/>
          </w:tcPr>
          <w:p>
            <w:pPr>
              <w:spacing w:after="0"/>
              <w:rPr>
                <w:sz w:val="20"/>
                <w:szCs w:val="20"/>
                <w:color w:val="auto"/>
              </w:rPr>
            </w:pPr>
            <w:r>
              <w:rPr>
                <w:rFonts w:ascii="Arial" w:cs="Arial" w:eastAsia="Arial" w:hAnsi="Arial"/>
                <w:sz w:val="15"/>
                <w:szCs w:val="15"/>
                <w:i w:val="1"/>
                <w:iCs w:val="1"/>
                <w:color w:val="auto"/>
              </w:rPr>
              <w:t>($ in thousands)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10"/>
          </w:tcPr>
          <w:p>
            <w:pPr>
              <w:ind w:left="580"/>
              <w:spacing w:after="0"/>
              <w:rPr>
                <w:sz w:val="20"/>
                <w:szCs w:val="20"/>
                <w:color w:val="auto"/>
              </w:rPr>
            </w:pPr>
            <w:r>
              <w:rPr>
                <w:rFonts w:ascii="Arial" w:cs="Arial" w:eastAsia="Arial" w:hAnsi="Arial"/>
                <w:sz w:val="15"/>
                <w:szCs w:val="15"/>
                <w:b w:val="1"/>
                <w:bCs w:val="1"/>
                <w:color w:val="auto"/>
              </w:rPr>
              <w:t>Allocation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5"/>
                <w:szCs w:val="15"/>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4"/>
          </w:tcPr>
          <w:p>
            <w:pPr>
              <w:spacing w:after="0" w:line="156" w:lineRule="exact"/>
              <w:rPr>
                <w:sz w:val="20"/>
                <w:szCs w:val="20"/>
                <w:color w:val="auto"/>
              </w:rPr>
            </w:pPr>
            <w:r>
              <w:rPr>
                <w:rFonts w:ascii="Arial" w:cs="Arial" w:eastAsia="Arial" w:hAnsi="Arial"/>
                <w:sz w:val="15"/>
                <w:szCs w:val="15"/>
                <w:b w:val="1"/>
                <w:bCs w:val="1"/>
                <w:color w:val="auto"/>
                <w:w w:val="86"/>
              </w:rPr>
              <w:t>purchase price</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20" w:type="dxa"/>
            <w:vAlign w:val="bottom"/>
            <w:tcBorders>
              <w:top w:val="single" w:sz="8" w:color="auto"/>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00" w:type="dxa"/>
            <w:vAlign w:val="bottom"/>
          </w:tcPr>
          <w:p>
            <w:pPr>
              <w:spacing w:after="0"/>
              <w:rPr>
                <w:sz w:val="17"/>
                <w:szCs w:val="17"/>
                <w:color w:val="auto"/>
              </w:rPr>
            </w:pPr>
          </w:p>
        </w:tc>
        <w:tc>
          <w:tcPr>
            <w:tcW w:w="780" w:type="dxa"/>
            <w:vAlign w:val="bottom"/>
            <w:tcBorders>
              <w:right w:val="single" w:sz="8" w:color="CCEEFF"/>
            </w:tcBorders>
          </w:tcPr>
          <w:p>
            <w:pPr>
              <w:spacing w:after="0"/>
              <w:rPr>
                <w:sz w:val="17"/>
                <w:szCs w:val="17"/>
                <w:color w:val="auto"/>
              </w:rPr>
            </w:pPr>
          </w:p>
        </w:tc>
        <w:tc>
          <w:tcPr>
            <w:tcW w:w="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5"/>
                <w:szCs w:val="15"/>
                <w:color w:val="auto"/>
              </w:rPr>
              <w:t>Cash</w:t>
            </w:r>
          </w:p>
        </w:tc>
        <w:tc>
          <w:tcPr>
            <w:tcW w:w="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3,507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gridSpan w:val="6"/>
          </w:tcPr>
          <w:p>
            <w:pPr>
              <w:spacing w:after="0"/>
              <w:rPr>
                <w:sz w:val="20"/>
                <w:szCs w:val="20"/>
                <w:color w:val="auto"/>
              </w:rPr>
            </w:pPr>
            <w:r>
              <w:rPr>
                <w:rFonts w:ascii="Arial" w:cs="Arial" w:eastAsia="Arial" w:hAnsi="Arial"/>
                <w:sz w:val="15"/>
                <w:szCs w:val="15"/>
                <w:color w:val="auto"/>
              </w:rPr>
              <w:t>Accounts receivable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5"/>
                <w:szCs w:val="15"/>
                <w:color w:val="auto"/>
              </w:rPr>
              <w:t>25,784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100" w:type="dxa"/>
            <w:vAlign w:val="bottom"/>
          </w:tcPr>
          <w:p>
            <w:pPr>
              <w:spacing w:after="0"/>
              <w:rPr>
                <w:sz w:val="17"/>
                <w:szCs w:val="17"/>
                <w:color w:val="auto"/>
              </w:rPr>
            </w:pPr>
          </w:p>
        </w:tc>
        <w:tc>
          <w:tcPr>
            <w:tcW w:w="780" w:type="dxa"/>
            <w:vAlign w:val="bottom"/>
            <w:tcBorders>
              <w:right w:val="single" w:sz="8" w:color="CCEEFF"/>
            </w:tcBorders>
          </w:tcPr>
          <w:p>
            <w:pPr>
              <w:spacing w:after="0"/>
              <w:rPr>
                <w:sz w:val="17"/>
                <w:szCs w:val="17"/>
                <w:color w:val="auto"/>
              </w:rPr>
            </w:pPr>
          </w:p>
        </w:tc>
        <w:tc>
          <w:tcPr>
            <w:tcW w:w="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5"/>
                <w:szCs w:val="15"/>
                <w:color w:val="auto"/>
              </w:rPr>
              <w:t>Inventories</w:t>
            </w:r>
          </w:p>
        </w:tc>
        <w:tc>
          <w:tcPr>
            <w:tcW w:w="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23,559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gridSpan w:val="8"/>
          </w:tcPr>
          <w:p>
            <w:pPr>
              <w:spacing w:after="0"/>
              <w:rPr>
                <w:sz w:val="20"/>
                <w:szCs w:val="20"/>
                <w:color w:val="auto"/>
              </w:rPr>
            </w:pPr>
            <w:r>
              <w:rPr>
                <w:rFonts w:ascii="Arial" w:cs="Arial" w:eastAsia="Arial" w:hAnsi="Arial"/>
                <w:sz w:val="15"/>
                <w:szCs w:val="15"/>
                <w:color w:val="auto"/>
                <w:w w:val="89"/>
              </w:rPr>
              <w:t>Deferred income taxes-current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5"/>
                <w:szCs w:val="15"/>
                <w:color w:val="auto"/>
              </w:rPr>
              <w:t>860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100" w:type="dxa"/>
            <w:vAlign w:val="bottom"/>
          </w:tcPr>
          <w:p>
            <w:pPr>
              <w:spacing w:after="0"/>
              <w:rPr>
                <w:sz w:val="17"/>
                <w:szCs w:val="17"/>
                <w:color w:val="auto"/>
              </w:rPr>
            </w:pPr>
          </w:p>
        </w:tc>
        <w:tc>
          <w:tcPr>
            <w:tcW w:w="780" w:type="dxa"/>
            <w:vAlign w:val="bottom"/>
            <w:tcBorders>
              <w:right w:val="single" w:sz="8" w:color="CCEEFF"/>
            </w:tcBorders>
          </w:tcPr>
          <w:p>
            <w:pPr>
              <w:spacing w:after="0"/>
              <w:rPr>
                <w:sz w:val="17"/>
                <w:szCs w:val="17"/>
                <w:color w:val="auto"/>
              </w:rPr>
            </w:pPr>
          </w:p>
        </w:tc>
        <w:tc>
          <w:tcPr>
            <w:tcW w:w="282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5"/>
                <w:szCs w:val="15"/>
                <w:color w:val="auto"/>
                <w:w w:val="97"/>
              </w:rPr>
              <w:t>Prepaid expenses and other current assets</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gridSpan w:val="6"/>
          </w:tcPr>
          <w:p>
            <w:pPr>
              <w:spacing w:after="0"/>
              <w:rPr>
                <w:sz w:val="20"/>
                <w:szCs w:val="20"/>
                <w:color w:val="auto"/>
              </w:rPr>
            </w:pPr>
            <w:r>
              <w:rPr>
                <w:rFonts w:ascii="Arial" w:cs="Arial" w:eastAsia="Arial" w:hAnsi="Arial"/>
                <w:sz w:val="15"/>
                <w:szCs w:val="15"/>
                <w:color w:val="auto"/>
                <w:w w:val="99"/>
              </w:rPr>
              <w:t>Property and equipment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5"/>
                <w:szCs w:val="15"/>
                <w:color w:val="auto"/>
              </w:rPr>
              <w:t>2,308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100" w:type="dxa"/>
            <w:vAlign w:val="bottom"/>
          </w:tcPr>
          <w:p>
            <w:pPr>
              <w:spacing w:after="0"/>
              <w:rPr>
                <w:sz w:val="17"/>
                <w:szCs w:val="17"/>
                <w:color w:val="auto"/>
              </w:rPr>
            </w:pPr>
          </w:p>
        </w:tc>
        <w:tc>
          <w:tcPr>
            <w:tcW w:w="780" w:type="dxa"/>
            <w:vAlign w:val="bottom"/>
            <w:tcBorders>
              <w:right w:val="single" w:sz="8" w:color="CCEEFF"/>
            </w:tcBorders>
          </w:tcPr>
          <w:p>
            <w:pPr>
              <w:spacing w:after="0"/>
              <w:rPr>
                <w:sz w:val="17"/>
                <w:szCs w:val="17"/>
                <w:color w:val="auto"/>
              </w:rPr>
            </w:pPr>
          </w:p>
        </w:tc>
        <w:tc>
          <w:tcPr>
            <w:tcW w:w="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5"/>
                <w:szCs w:val="15"/>
                <w:color w:val="auto"/>
              </w:rPr>
              <w:t>Goodwill</w:t>
            </w:r>
          </w:p>
        </w:tc>
        <w:tc>
          <w:tcPr>
            <w:tcW w:w="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103,255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gridSpan w:val="6"/>
          </w:tcPr>
          <w:p>
            <w:pPr>
              <w:spacing w:after="0"/>
              <w:rPr>
                <w:sz w:val="20"/>
                <w:szCs w:val="20"/>
                <w:color w:val="auto"/>
              </w:rPr>
            </w:pPr>
            <w:r>
              <w:rPr>
                <w:rFonts w:ascii="Arial" w:cs="Arial" w:eastAsia="Arial" w:hAnsi="Arial"/>
                <w:sz w:val="15"/>
                <w:szCs w:val="15"/>
                <w:color w:val="auto"/>
              </w:rPr>
              <w:t>Intangible assets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5"/>
                <w:szCs w:val="15"/>
                <w:color w:val="auto"/>
              </w:rPr>
              <w:t>724,374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100" w:type="dxa"/>
            <w:vAlign w:val="bottom"/>
          </w:tcPr>
          <w:p>
            <w:pPr>
              <w:spacing w:after="0"/>
              <w:rPr>
                <w:sz w:val="17"/>
                <w:szCs w:val="17"/>
                <w:color w:val="auto"/>
              </w:rPr>
            </w:pPr>
          </w:p>
        </w:tc>
        <w:tc>
          <w:tcPr>
            <w:tcW w:w="780" w:type="dxa"/>
            <w:vAlign w:val="bottom"/>
            <w:tcBorders>
              <w:right w:val="single" w:sz="8" w:color="CCEEFF"/>
            </w:tcBorders>
          </w:tcPr>
          <w:p>
            <w:pPr>
              <w:spacing w:after="0"/>
              <w:rPr>
                <w:sz w:val="17"/>
                <w:szCs w:val="17"/>
                <w:color w:val="auto"/>
              </w:rPr>
            </w:pPr>
          </w:p>
        </w:tc>
        <w:tc>
          <w:tcPr>
            <w:tcW w:w="16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(16,079)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gridSpan w:val="6"/>
          </w:tcPr>
          <w:p>
            <w:pPr>
              <w:spacing w:after="0"/>
              <w:rPr>
                <w:sz w:val="20"/>
                <w:szCs w:val="20"/>
                <w:color w:val="auto"/>
              </w:rPr>
            </w:pPr>
            <w:r>
              <w:rPr>
                <w:rFonts w:ascii="Arial" w:cs="Arial" w:eastAsia="Arial" w:hAnsi="Arial"/>
                <w:sz w:val="15"/>
                <w:szCs w:val="15"/>
                <w:color w:val="auto"/>
              </w:rPr>
              <w:t>Accrued expenses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5"/>
                <w:szCs w:val="15"/>
                <w:color w:val="auto"/>
              </w:rPr>
              <w:t>(8,003)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00" w:type="dxa"/>
            <w:vAlign w:val="bottom"/>
          </w:tcPr>
          <w:p>
            <w:pPr>
              <w:spacing w:after="0"/>
              <w:rPr>
                <w:sz w:val="19"/>
                <w:szCs w:val="19"/>
                <w:color w:val="auto"/>
              </w:rPr>
            </w:pPr>
          </w:p>
        </w:tc>
        <w:tc>
          <w:tcPr>
            <w:tcW w:w="780" w:type="dxa"/>
            <w:vAlign w:val="bottom"/>
            <w:tcBorders>
              <w:right w:val="single" w:sz="8" w:color="CCEEFF"/>
            </w:tcBorders>
          </w:tcPr>
          <w:p>
            <w:pPr>
              <w:spacing w:after="0"/>
              <w:rPr>
                <w:sz w:val="19"/>
                <w:szCs w:val="19"/>
                <w:color w:val="auto"/>
              </w:rPr>
            </w:pPr>
          </w:p>
        </w:tc>
        <w:tc>
          <w:tcPr>
            <w:tcW w:w="2820" w:type="dxa"/>
            <w:vAlign w:val="bottom"/>
            <w:tcBorders>
              <w:bottom w:val="single" w:sz="8" w:color="CCEEFF"/>
            </w:tcBorders>
            <w:gridSpan w:val="12"/>
            <w:shd w:val="clear" w:color="auto" w:fill="CCEEFF"/>
          </w:tcPr>
          <w:p>
            <w:pPr>
              <w:spacing w:after="0"/>
              <w:rPr>
                <w:sz w:val="20"/>
                <w:szCs w:val="20"/>
                <w:color w:val="auto"/>
              </w:rPr>
            </w:pPr>
            <w:r>
              <w:rPr>
                <w:rFonts w:ascii="Arial" w:cs="Arial" w:eastAsia="Arial" w:hAnsi="Arial"/>
                <w:sz w:val="15"/>
                <w:szCs w:val="15"/>
                <w:color w:val="auto"/>
              </w:rPr>
              <w:t>Deferred income tax liabilities-long term</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(107,799)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gridSpan w:val="6"/>
          </w:tcPr>
          <w:p>
            <w:pPr>
              <w:spacing w:after="0"/>
              <w:rPr>
                <w:sz w:val="20"/>
                <w:szCs w:val="20"/>
                <w:color w:val="auto"/>
              </w:rPr>
            </w:pPr>
            <w:r>
              <w:rPr>
                <w:rFonts w:ascii="Arial" w:cs="Arial" w:eastAsia="Arial" w:hAnsi="Arial"/>
                <w:sz w:val="15"/>
                <w:szCs w:val="15"/>
                <w:color w:val="auto"/>
              </w:rPr>
              <w:t>Net assets acquired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5"/>
                <w:szCs w:val="15"/>
                <w:b w:val="1"/>
                <w:bCs w:val="1"/>
                <w:color w:val="auto"/>
              </w:rPr>
              <w:t>753,173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10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 in thousands)</w:t>
            </w:r>
          </w:p>
        </w:tc>
        <w:tc>
          <w:tcPr>
            <w:tcW w:w="1080" w:type="dxa"/>
            <w:vAlign w:val="bottom"/>
            <w:gridSpan w:val="2"/>
            <w:vMerge w:val="restart"/>
          </w:tcPr>
          <w:p>
            <w:pPr>
              <w:spacing w:after="0"/>
              <w:rPr>
                <w:sz w:val="20"/>
                <w:szCs w:val="20"/>
                <w:color w:val="auto"/>
              </w:rPr>
            </w:pPr>
            <w:r>
              <w:rPr>
                <w:rFonts w:ascii="Arial" w:cs="Arial" w:eastAsia="Arial" w:hAnsi="Arial"/>
                <w:sz w:val="15"/>
                <w:szCs w:val="15"/>
                <w:b w:val="1"/>
                <w:bCs w:val="1"/>
                <w:color w:val="auto"/>
                <w:w w:val="85"/>
              </w:rPr>
              <w:t>Intangible Assets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vMerge w:val="restart"/>
          </w:tcPr>
          <w:p>
            <w:pPr>
              <w:jc w:val="right"/>
              <w:ind w:right="420"/>
              <w:spacing w:after="0"/>
              <w:rPr>
                <w:sz w:val="20"/>
                <w:szCs w:val="20"/>
                <w:color w:val="auto"/>
              </w:rPr>
            </w:pPr>
            <w:r>
              <w:rPr>
                <w:rFonts w:ascii="Arial" w:cs="Arial" w:eastAsia="Arial" w:hAnsi="Arial"/>
                <w:sz w:val="12"/>
                <w:szCs w:val="12"/>
                <w:b w:val="1"/>
                <w:bCs w:val="1"/>
                <w:color w:val="auto"/>
                <w:w w:val="83"/>
              </w:rPr>
              <w:t>Total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2"/>
                <w:szCs w:val="12"/>
                <w:b w:val="1"/>
                <w:bCs w:val="1"/>
                <w:color w:val="auto"/>
              </w:rPr>
              <w:t>Total excluding</w:t>
            </w:r>
          </w:p>
        </w:tc>
        <w:tc>
          <w:tcPr>
            <w:tcW w:w="160" w:type="dxa"/>
            <w:vAlign w:val="bottom"/>
          </w:tcPr>
          <w:p>
            <w:pPr>
              <w:spacing w:after="0"/>
              <w:rPr>
                <w:sz w:val="24"/>
                <w:szCs w:val="24"/>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2"/>
                <w:szCs w:val="12"/>
                <w:b w:val="1"/>
                <w:bCs w:val="1"/>
                <w:color w:val="auto"/>
                <w:w w:val="88"/>
              </w:rPr>
              <w:t>Insight Intangible</w:t>
            </w:r>
          </w:p>
        </w:tc>
        <w:tc>
          <w:tcPr>
            <w:tcW w:w="160" w:type="dxa"/>
            <w:vAlign w:val="bottom"/>
          </w:tcPr>
          <w:p>
            <w:pPr>
              <w:spacing w:after="0"/>
              <w:rPr>
                <w:sz w:val="24"/>
                <w:szCs w:val="24"/>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2"/>
                <w:szCs w:val="12"/>
                <w:b w:val="1"/>
                <w:bCs w:val="1"/>
                <w:color w:val="auto"/>
                <w:w w:val="91"/>
              </w:rPr>
              <w:t>Incremental Intangible</w:t>
            </w:r>
          </w:p>
        </w:tc>
        <w:tc>
          <w:tcPr>
            <w:tcW w:w="220" w:type="dxa"/>
            <w:vAlign w:val="bottom"/>
          </w:tcPr>
          <w:p>
            <w:pPr>
              <w:spacing w:after="0"/>
              <w:rPr>
                <w:sz w:val="24"/>
                <w:szCs w:val="2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6"/>
              </w:rPr>
              <w:t>Deferred finance cost</w:t>
            </w:r>
          </w:p>
        </w:tc>
        <w:tc>
          <w:tcPr>
            <w:tcW w:w="200" w:type="dxa"/>
            <w:vAlign w:val="bottom"/>
          </w:tcPr>
          <w:p>
            <w:pPr>
              <w:spacing w:after="0"/>
              <w:rPr>
                <w:sz w:val="24"/>
                <w:szCs w:val="24"/>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w w:val="83"/>
              </w:rPr>
              <w:t>Total adjustments</w:t>
            </w:r>
          </w:p>
        </w:tc>
        <w:tc>
          <w:tcPr>
            <w:tcW w:w="0" w:type="dxa"/>
            <w:vAlign w:val="bottom"/>
          </w:tcPr>
          <w:p>
            <w:pPr>
              <w:spacing w:after="0"/>
              <w:rPr>
                <w:sz w:val="1"/>
                <w:szCs w:val="1"/>
                <w:color w:val="auto"/>
              </w:rPr>
            </w:pPr>
          </w:p>
        </w:tc>
      </w:tr>
      <w:tr>
        <w:trPr>
          <w:trHeight w:val="20"/>
        </w:trPr>
        <w:tc>
          <w:tcPr>
            <w:tcW w:w="2100" w:type="dxa"/>
            <w:vAlign w:val="bottom"/>
            <w:vMerge w:val="continue"/>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100" w:type="dxa"/>
            <w:vAlign w:val="bottom"/>
            <w:vMerge w:val="continue"/>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640" w:type="dxa"/>
            <w:vAlign w:val="bottom"/>
            <w:gridSpan w:val="3"/>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980" w:type="dxa"/>
            <w:vAlign w:val="bottom"/>
            <w:gridSpan w:val="4"/>
          </w:tcPr>
          <w:p>
            <w:pPr>
              <w:spacing w:after="0" w:line="79" w:lineRule="exact"/>
              <w:rPr>
                <w:sz w:val="20"/>
                <w:szCs w:val="20"/>
                <w:color w:val="auto"/>
              </w:rPr>
            </w:pPr>
            <w:r>
              <w:rPr>
                <w:rFonts w:ascii="Arial" w:cs="Arial" w:eastAsia="Arial" w:hAnsi="Arial"/>
                <w:sz w:val="9"/>
                <w:szCs w:val="9"/>
                <w:b w:val="1"/>
                <w:bCs w:val="1"/>
                <w:color w:val="auto"/>
              </w:rPr>
              <w:t>divested brand (1)</w:t>
            </w:r>
          </w:p>
        </w:tc>
        <w:tc>
          <w:tcPr>
            <w:tcW w:w="160" w:type="dxa"/>
            <w:vAlign w:val="bottom"/>
          </w:tcPr>
          <w:p>
            <w:pPr>
              <w:spacing w:after="0"/>
              <w:rPr>
                <w:sz w:val="6"/>
                <w:szCs w:val="6"/>
                <w:color w:val="auto"/>
              </w:rPr>
            </w:pPr>
          </w:p>
        </w:tc>
        <w:tc>
          <w:tcPr>
            <w:tcW w:w="900" w:type="dxa"/>
            <w:vAlign w:val="bottom"/>
            <w:gridSpan w:val="4"/>
          </w:tcPr>
          <w:p>
            <w:pPr>
              <w:jc w:val="right"/>
              <w:ind w:right="47"/>
              <w:spacing w:after="0" w:line="79" w:lineRule="exact"/>
              <w:rPr>
                <w:sz w:val="20"/>
                <w:szCs w:val="20"/>
                <w:color w:val="auto"/>
              </w:rPr>
            </w:pPr>
            <w:r>
              <w:rPr>
                <w:rFonts w:ascii="Arial" w:cs="Arial" w:eastAsia="Arial" w:hAnsi="Arial"/>
                <w:sz w:val="9"/>
                <w:szCs w:val="9"/>
                <w:b w:val="1"/>
                <w:bCs w:val="1"/>
                <w:color w:val="auto"/>
              </w:rPr>
              <w:t>amortization</w:t>
            </w:r>
          </w:p>
        </w:tc>
        <w:tc>
          <w:tcPr>
            <w:tcW w:w="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140" w:type="dxa"/>
            <w:vAlign w:val="bottom"/>
            <w:gridSpan w:val="3"/>
          </w:tcPr>
          <w:p>
            <w:pPr>
              <w:ind w:left="160"/>
              <w:spacing w:after="0" w:line="79" w:lineRule="exact"/>
              <w:rPr>
                <w:sz w:val="20"/>
                <w:szCs w:val="20"/>
                <w:color w:val="auto"/>
              </w:rPr>
            </w:pPr>
            <w:r>
              <w:rPr>
                <w:rFonts w:ascii="Arial" w:cs="Arial" w:eastAsia="Arial" w:hAnsi="Arial"/>
                <w:sz w:val="9"/>
                <w:szCs w:val="9"/>
                <w:b w:val="1"/>
                <w:bCs w:val="1"/>
                <w:color w:val="auto"/>
              </w:rPr>
              <w:t>amortization (2)</w:t>
            </w:r>
          </w:p>
        </w:tc>
        <w:tc>
          <w:tcPr>
            <w:tcW w:w="1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tcPr>
          <w:p>
            <w:pPr>
              <w:jc w:val="center"/>
              <w:ind w:right="120"/>
              <w:spacing w:after="0" w:line="79" w:lineRule="exact"/>
              <w:rPr>
                <w:sz w:val="20"/>
                <w:szCs w:val="20"/>
                <w:color w:val="auto"/>
              </w:rPr>
            </w:pPr>
            <w:r>
              <w:rPr>
                <w:rFonts w:ascii="Arial" w:cs="Arial" w:eastAsia="Arial" w:hAnsi="Arial"/>
                <w:sz w:val="9"/>
                <w:szCs w:val="9"/>
                <w:b w:val="1"/>
                <w:bCs w:val="1"/>
                <w:color w:val="auto"/>
              </w:rPr>
              <w:t>amortization (2)</w:t>
            </w:r>
          </w:p>
        </w:tc>
        <w:tc>
          <w:tcPr>
            <w:tcW w:w="1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intangible assets acquired</w:t>
            </w:r>
          </w:p>
        </w:tc>
        <w:tc>
          <w:tcPr>
            <w:tcW w:w="1700" w:type="dxa"/>
            <w:vAlign w:val="bottom"/>
            <w:gridSpan w:val="4"/>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724,374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706,700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Non-amortizable intangible assets</w:t>
            </w:r>
          </w:p>
        </w:tc>
        <w:tc>
          <w:tcPr>
            <w:tcW w:w="7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599,600</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color w:val="auto"/>
              </w:rPr>
              <w:t>599,600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Amortizable intangible assets</w:t>
            </w:r>
          </w:p>
        </w:tc>
        <w:tc>
          <w:tcPr>
            <w:tcW w:w="1700" w:type="dxa"/>
            <w:vAlign w:val="bottom"/>
            <w:gridSpan w:val="4"/>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124,774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b w:val="1"/>
                <w:bCs w:val="1"/>
                <w:color w:val="auto"/>
                <w:w w:val="89"/>
              </w:rPr>
              <w:t>$</w:t>
            </w:r>
          </w:p>
        </w:tc>
        <w:tc>
          <w:tcPr>
            <w:tcW w:w="8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107,100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Estimated weighted average useful life</w:t>
            </w:r>
          </w:p>
        </w:tc>
        <w:tc>
          <w:tcPr>
            <w:tcW w:w="7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color w:val="auto"/>
              </w:rPr>
              <w:t>16.20</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2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2"/>
                <w:szCs w:val="12"/>
                <w:color w:val="auto"/>
              </w:rPr>
              <w:t>Pro-forma annual amortization-12 months (3)</w:t>
            </w:r>
          </w:p>
        </w:tc>
        <w:tc>
          <w:tcPr>
            <w:tcW w:w="2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w w:val="89"/>
              </w:rPr>
              <w:t>$</w:t>
            </w: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6,610</w:t>
            </w: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2,708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8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3,902</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b w:val="1"/>
                <w:bCs w:val="1"/>
                <w:color w:val="auto"/>
              </w:rPr>
              <w:t>$</w:t>
            </w:r>
          </w:p>
        </w:tc>
        <w:tc>
          <w:tcPr>
            <w:tcW w:w="12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4,471</w:t>
            </w: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b w:val="1"/>
                <w:bCs w:val="1"/>
                <w:color w:val="auto"/>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(569)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100" w:type="dxa"/>
            <w:vAlign w:val="bottom"/>
          </w:tcPr>
          <w:p>
            <w:pPr>
              <w:ind w:left="20"/>
              <w:spacing w:after="0"/>
              <w:rPr>
                <w:sz w:val="20"/>
                <w:szCs w:val="20"/>
                <w:color w:val="auto"/>
              </w:rPr>
            </w:pPr>
            <w:r>
              <w:rPr>
                <w:rFonts w:ascii="Arial" w:cs="Arial" w:eastAsia="Arial" w:hAnsi="Arial"/>
                <w:sz w:val="12"/>
                <w:szCs w:val="12"/>
                <w:color w:val="auto"/>
                <w:w w:val="88"/>
              </w:rPr>
              <w:t>Pro-forma annual amortization-6 months (3)</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w w:val="89"/>
              </w:rPr>
              <w:t>$</w:t>
            </w: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rPr>
              <w:t>3,305</w:t>
            </w:r>
          </w:p>
        </w:tc>
        <w:tc>
          <w:tcPr>
            <w:tcW w:w="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2"/>
                <w:szCs w:val="12"/>
                <w:b w:val="1"/>
                <w:bCs w:val="1"/>
                <w:color w:val="auto"/>
              </w:rPr>
              <w:t>2,398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2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2"/>
                <w:szCs w:val="12"/>
                <w:b w:val="1"/>
                <w:bCs w:val="1"/>
                <w:color w:val="auto"/>
              </w:rPr>
              <w:t>907</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w:t>
            </w: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rPr>
              <w:t>2,225</w:t>
            </w: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(1,318)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392" w:right="120" w:firstLine="4"/>
        <w:spacing w:after="0" w:line="264" w:lineRule="auto"/>
        <w:tabs>
          <w:tab w:leader="none" w:pos="599" w:val="left"/>
        </w:tabs>
        <w:numPr>
          <w:ilvl w:val="0"/>
          <w:numId w:val="6"/>
        </w:numPr>
        <w:rPr>
          <w:rFonts w:ascii="Arial" w:cs="Arial" w:eastAsia="Arial" w:hAnsi="Arial"/>
          <w:sz w:val="15"/>
          <w:szCs w:val="15"/>
          <w:color w:val="auto"/>
        </w:rPr>
      </w:pPr>
      <w:r>
        <w:rPr>
          <w:rFonts w:ascii="Arial" w:cs="Arial" w:eastAsia="Arial" w:hAnsi="Arial"/>
          <w:sz w:val="15"/>
          <w:szCs w:val="15"/>
          <w:color w:val="auto"/>
        </w:rPr>
        <w:t>Pursuant to the terms of the FTC approval of the acquisition, we divested a competing brand acquired from Insight on the same day we acquired Insight. Therefore, we have excluded this brand from our pro forma data.</w:t>
      </w:r>
    </w:p>
    <w:p>
      <w:pPr>
        <w:spacing w:after="0" w:line="148" w:lineRule="exact"/>
        <w:rPr>
          <w:rFonts w:ascii="Arial" w:cs="Arial" w:eastAsia="Arial" w:hAnsi="Arial"/>
          <w:sz w:val="15"/>
          <w:szCs w:val="15"/>
          <w:color w:val="auto"/>
        </w:rPr>
      </w:pPr>
    </w:p>
    <w:p>
      <w:pPr>
        <w:ind w:left="392" w:firstLine="4"/>
        <w:spacing w:after="0" w:line="251" w:lineRule="auto"/>
        <w:tabs>
          <w:tab w:leader="none" w:pos="599"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Incremental amortization expense related to the amortizable assets have been included for the acquisition of Insight. Accordingly, the pro forma adjustments for the fiscal year ended March 31, 2014 and the six months ended June 30, 2014 represent the additional amortization that would be required to be recorded over the amortization that Insight already recorded in the income statement for the same period. Additionally, the amortization of deferred financing costs classified by Insight in depreciation and amortization expense have been reclassified to interest expense to conform with the Company's presentation.</w:t>
      </w:r>
    </w:p>
    <w:p>
      <w:pPr>
        <w:spacing w:after="0" w:line="158" w:lineRule="exact"/>
        <w:rPr>
          <w:sz w:val="20"/>
          <w:szCs w:val="20"/>
          <w:color w:val="auto"/>
        </w:rPr>
      </w:pPr>
    </w:p>
    <w:p>
      <w:pPr>
        <w:ind w:left="392" w:right="600"/>
        <w:spacing w:after="0" w:line="264" w:lineRule="auto"/>
        <w:rPr>
          <w:sz w:val="20"/>
          <w:szCs w:val="20"/>
          <w:color w:val="auto"/>
        </w:rPr>
      </w:pPr>
      <w:r>
        <w:rPr>
          <w:rFonts w:ascii="Arial" w:cs="Arial" w:eastAsia="Arial" w:hAnsi="Arial"/>
          <w:sz w:val="15"/>
          <w:szCs w:val="15"/>
          <w:color w:val="auto"/>
        </w:rPr>
        <w:t>The table below provides the breakdown of the historical depreciation and amortization included in the Insight historical financial statements, including the reclassification of the amortization of deferred finance costs to interest expense to conform with the Company's presentation.</w:t>
      </w:r>
    </w:p>
    <w:p>
      <w:pPr>
        <w:spacing w:after="0" w:line="317" w:lineRule="exact"/>
        <w:rPr>
          <w:sz w:val="20"/>
          <w:szCs w:val="20"/>
          <w:color w:val="auto"/>
        </w:rPr>
      </w:pPr>
    </w:p>
    <w:tbl>
      <w:tblPr>
        <w:tblLayout w:type="fixed"/>
        <w:tblInd w:w="1892" w:type="dxa"/>
        <w:tblCellMar>
          <w:top w:w="0" w:type="dxa"/>
          <w:left w:w="0" w:type="dxa"/>
          <w:bottom w:w="0" w:type="dxa"/>
          <w:right w:w="0" w:type="dxa"/>
        </w:tblCellMar>
      </w:tblPr>
      <w:tr>
        <w:trPr>
          <w:trHeight w:val="138"/>
        </w:trPr>
        <w:tc>
          <w:tcPr>
            <w:tcW w:w="3540" w:type="dxa"/>
            <w:vAlign w:val="bottom"/>
            <w:gridSpan w:val="3"/>
          </w:tcPr>
          <w:p>
            <w:pPr>
              <w:ind w:left="20"/>
              <w:spacing w:after="0"/>
              <w:rPr>
                <w:sz w:val="20"/>
                <w:szCs w:val="20"/>
                <w:color w:val="auto"/>
              </w:rPr>
            </w:pPr>
            <w:r>
              <w:rPr>
                <w:rFonts w:ascii="Arial" w:cs="Arial" w:eastAsia="Arial" w:hAnsi="Arial"/>
                <w:sz w:val="12"/>
                <w:szCs w:val="12"/>
                <w:i w:val="1"/>
                <w:iCs w:val="1"/>
                <w:color w:val="auto"/>
              </w:rPr>
              <w:t xml:space="preserve">($ in thousands) </w:t>
            </w:r>
            <w:r>
              <w:rPr>
                <w:rFonts w:ascii="Arial" w:cs="Arial" w:eastAsia="Arial" w:hAnsi="Arial"/>
                <w:sz w:val="12"/>
                <w:szCs w:val="12"/>
                <w:b w:val="1"/>
                <w:bCs w:val="1"/>
                <w:color w:val="auto"/>
              </w:rPr>
              <w:t>Insight Depreciation and amortization</w:t>
            </w:r>
          </w:p>
        </w:tc>
        <w:tc>
          <w:tcPr>
            <w:tcW w:w="100" w:type="dxa"/>
            <w:vAlign w:val="bottom"/>
          </w:tcPr>
          <w:p>
            <w:pPr>
              <w:spacing w:after="0"/>
              <w:rPr>
                <w:sz w:val="12"/>
                <w:szCs w:val="12"/>
                <w:color w:val="auto"/>
              </w:rPr>
            </w:pPr>
          </w:p>
        </w:tc>
        <w:tc>
          <w:tcPr>
            <w:tcW w:w="19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0"/>
              </w:rPr>
              <w:t>Fiscal Year Ended March 31, 2014</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w w:val="88"/>
              </w:rPr>
              <w:t>Six Months Ended September 30, 2014</w:t>
            </w:r>
          </w:p>
        </w:tc>
      </w:tr>
      <w:tr>
        <w:trPr>
          <w:trHeight w:val="26"/>
        </w:trPr>
        <w:tc>
          <w:tcPr>
            <w:tcW w:w="80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6"/>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Depreciation of property &amp;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9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348</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w:t>
            </w:r>
          </w:p>
        </w:tc>
        <w:tc>
          <w:tcPr>
            <w:tcW w:w="40" w:type="dxa"/>
            <w:vAlign w:val="bottom"/>
            <w:shd w:val="clear" w:color="auto" w:fill="CCEEFF"/>
          </w:tcPr>
          <w:p>
            <w:pPr>
              <w:spacing w:after="0"/>
              <w:rPr>
                <w:sz w:val="19"/>
                <w:szCs w:val="19"/>
                <w:color w:val="auto"/>
              </w:rPr>
            </w:pPr>
          </w:p>
        </w:tc>
      </w:tr>
      <w:tr>
        <w:trPr>
          <w:trHeight w:val="215"/>
        </w:trPr>
        <w:tc>
          <w:tcPr>
            <w:tcW w:w="3540" w:type="dxa"/>
            <w:vAlign w:val="bottom"/>
            <w:gridSpan w:val="3"/>
          </w:tcPr>
          <w:p>
            <w:pPr>
              <w:ind w:left="20"/>
              <w:spacing w:after="0"/>
              <w:rPr>
                <w:sz w:val="20"/>
                <w:szCs w:val="20"/>
                <w:color w:val="auto"/>
              </w:rPr>
            </w:pPr>
            <w:r>
              <w:rPr>
                <w:rFonts w:ascii="Arial" w:cs="Arial" w:eastAsia="Arial" w:hAnsi="Arial"/>
                <w:sz w:val="12"/>
                <w:szCs w:val="12"/>
                <w:color w:val="auto"/>
              </w:rPr>
              <w:t>Amortization of intangible assets</w:t>
            </w:r>
          </w:p>
        </w:tc>
        <w:tc>
          <w:tcPr>
            <w:tcW w:w="100" w:type="dxa"/>
            <w:vAlign w:val="bottom"/>
          </w:tcPr>
          <w:p>
            <w:pPr>
              <w:spacing w:after="0"/>
              <w:rPr>
                <w:sz w:val="18"/>
                <w:szCs w:val="18"/>
                <w:color w:val="auto"/>
              </w:rPr>
            </w:pPr>
          </w:p>
        </w:tc>
        <w:tc>
          <w:tcPr>
            <w:tcW w:w="1960" w:type="dxa"/>
            <w:vAlign w:val="bottom"/>
            <w:gridSpan w:val="3"/>
          </w:tcPr>
          <w:p>
            <w:pPr>
              <w:jc w:val="right"/>
              <w:ind w:right="120"/>
              <w:spacing w:after="0"/>
              <w:rPr>
                <w:sz w:val="20"/>
                <w:szCs w:val="20"/>
                <w:color w:val="auto"/>
              </w:rPr>
            </w:pPr>
            <w:r>
              <w:rPr>
                <w:rFonts w:ascii="Arial" w:cs="Arial" w:eastAsia="Arial" w:hAnsi="Arial"/>
                <w:sz w:val="12"/>
                <w:szCs w:val="12"/>
                <w:color w:val="auto"/>
              </w:rPr>
              <w:t>2,708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2,398</w:t>
            </w:r>
          </w:p>
        </w:tc>
        <w:tc>
          <w:tcPr>
            <w:tcW w:w="40" w:type="dxa"/>
            <w:vAlign w:val="bottom"/>
          </w:tcPr>
          <w:p>
            <w:pPr>
              <w:spacing w:after="0"/>
              <w:rPr>
                <w:sz w:val="18"/>
                <w:szCs w:val="18"/>
                <w:color w:val="auto"/>
              </w:rPr>
            </w:pPr>
          </w:p>
        </w:tc>
      </w:tr>
      <w:tr>
        <w:trPr>
          <w:trHeight w:val="22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Amortization of deferred finance costs</w:t>
            </w:r>
          </w:p>
        </w:tc>
        <w:tc>
          <w:tcPr>
            <w:tcW w:w="1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4,471</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2,225</w:t>
            </w:r>
          </w:p>
        </w:tc>
        <w:tc>
          <w:tcPr>
            <w:tcW w:w="40" w:type="dxa"/>
            <w:vAlign w:val="bottom"/>
            <w:tcBorders>
              <w:bottom w:val="single" w:sz="8" w:color="auto"/>
            </w:tcBorders>
            <w:shd w:val="clear" w:color="auto" w:fill="CCEEFF"/>
          </w:tcPr>
          <w:p>
            <w:pPr>
              <w:spacing w:after="0"/>
              <w:rPr>
                <w:sz w:val="19"/>
                <w:szCs w:val="19"/>
                <w:color w:val="auto"/>
              </w:rPr>
            </w:pPr>
          </w:p>
        </w:tc>
      </w:tr>
      <w:tr>
        <w:trPr>
          <w:trHeight w:val="211"/>
        </w:trPr>
        <w:tc>
          <w:tcPr>
            <w:tcW w:w="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7,527</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4,875</w:t>
            </w:r>
          </w:p>
        </w:tc>
        <w:tc>
          <w:tcPr>
            <w:tcW w:w="40" w:type="dxa"/>
            <w:vAlign w:val="bottom"/>
            <w:tcBorders>
              <w:bottom w:val="single" w:sz="8" w:color="auto"/>
            </w:tcBorders>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92"/>
          </w:cols>
          <w:pgMar w:left="228" w:top="503" w:right="279" w:bottom="1440" w:gutter="0" w:footer="0" w:header="0"/>
        </w:sectPr>
      </w:pPr>
    </w:p>
    <w:bookmarkStart w:id="57" w:name="page58"/>
    <w:bookmarkEnd w:id="57"/>
    <w:p>
      <w:pPr>
        <w:ind w:left="400" w:right="120" w:firstLine="4"/>
        <w:spacing w:after="0" w:line="264" w:lineRule="auto"/>
        <w:tabs>
          <w:tab w:leader="none" w:pos="607" w:val="left"/>
        </w:tabs>
        <w:numPr>
          <w:ilvl w:val="1"/>
          <w:numId w:val="7"/>
        </w:numPr>
        <w:rPr>
          <w:rFonts w:ascii="Arial" w:cs="Arial" w:eastAsia="Arial" w:hAnsi="Arial"/>
          <w:sz w:val="15"/>
          <w:szCs w:val="15"/>
          <w:color w:val="auto"/>
        </w:rPr>
      </w:pPr>
      <w:r>
        <w:rPr>
          <w:rFonts w:ascii="Arial" w:cs="Arial" w:eastAsia="Arial" w:hAnsi="Arial"/>
          <w:sz w:val="15"/>
          <w:szCs w:val="15"/>
          <w:color w:val="auto"/>
        </w:rPr>
        <w:t>A hypothetical increase or decrease of 10% of the preliminary fair value of the finite-lived amortizable intangible assets would result in an increase or decrease of approximately $0.7 million in annual amortization expense and $0.3 million in amortization expense for the six month period.</w:t>
      </w:r>
    </w:p>
    <w:p>
      <w:pPr>
        <w:spacing w:after="0" w:line="323" w:lineRule="exact"/>
        <w:rPr>
          <w:rFonts w:ascii="Arial" w:cs="Arial" w:eastAsia="Arial" w:hAnsi="Arial"/>
          <w:sz w:val="15"/>
          <w:szCs w:val="15"/>
          <w:color w:val="auto"/>
        </w:rPr>
      </w:pPr>
    </w:p>
    <w:p>
      <w:pPr>
        <w:ind w:left="200" w:hanging="192"/>
        <w:spacing w:after="0"/>
        <w:tabs>
          <w:tab w:leader="none" w:pos="20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Reflects the interest expense as a result of the Insight acquisition, which is calculated as: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80" w:type="dxa"/>
            <w:vAlign w:val="bottom"/>
            <w:gridSpan w:val="2"/>
          </w:tcPr>
          <w:p>
            <w:pPr>
              <w:ind w:left="20"/>
              <w:spacing w:after="0"/>
              <w:rPr>
                <w:sz w:val="20"/>
                <w:szCs w:val="20"/>
                <w:color w:val="auto"/>
              </w:rPr>
            </w:pPr>
            <w:r>
              <w:rPr>
                <w:rFonts w:ascii="Arial" w:cs="Arial" w:eastAsia="Arial" w:hAnsi="Arial"/>
                <w:sz w:val="15"/>
                <w:szCs w:val="15"/>
                <w:i w:val="1"/>
                <w:iCs w:val="1"/>
                <w:color w:val="auto"/>
              </w:rPr>
              <w:t>($ in thousands)</w:t>
            </w:r>
          </w:p>
        </w:tc>
        <w:tc>
          <w:tcPr>
            <w:tcW w:w="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7"/>
              </w:rPr>
              <w:t>Long term debt</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5"/>
            <w:vMerge w:val="restart"/>
          </w:tcPr>
          <w:p>
            <w:pPr>
              <w:spacing w:after="0"/>
              <w:rPr>
                <w:sz w:val="20"/>
                <w:szCs w:val="20"/>
                <w:color w:val="auto"/>
              </w:rPr>
            </w:pPr>
            <w:r>
              <w:rPr>
                <w:rFonts w:ascii="Arial" w:cs="Arial" w:eastAsia="Arial" w:hAnsi="Arial"/>
                <w:sz w:val="12"/>
                <w:szCs w:val="12"/>
                <w:b w:val="1"/>
                <w:bCs w:val="1"/>
                <w:color w:val="auto"/>
                <w:w w:val="89"/>
              </w:rPr>
              <w:t>Six Months Ended September 30,</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vMerge w:val="restart"/>
          </w:tcPr>
          <w:p>
            <w:pPr>
              <w:ind w:left="20"/>
              <w:spacing w:after="0" w:line="136" w:lineRule="exact"/>
              <w:rPr>
                <w:sz w:val="20"/>
                <w:szCs w:val="20"/>
                <w:color w:val="auto"/>
              </w:rPr>
            </w:pPr>
            <w:r>
              <w:rPr>
                <w:rFonts w:ascii="Arial" w:cs="Arial" w:eastAsia="Arial" w:hAnsi="Arial"/>
                <w:sz w:val="15"/>
                <w:szCs w:val="15"/>
                <w:b w:val="1"/>
                <w:bCs w:val="1"/>
                <w:color w:val="auto"/>
                <w:w w:val="83"/>
              </w:rPr>
              <w:t>and interest expense</w:t>
            </w:r>
          </w:p>
        </w:tc>
        <w:tc>
          <w:tcPr>
            <w:tcW w:w="2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8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96"/>
              </w:rPr>
              <w:t>Fiscal Year Ended March 31, 2014</w:t>
            </w: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29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300" w:type="dxa"/>
            <w:vAlign w:val="bottom"/>
            <w:tcBorders>
              <w:top w:val="single" w:sz="8" w:color="auto"/>
              <w:bottom w:val="single" w:sz="8" w:color="auto"/>
            </w:tcBorders>
            <w:gridSpan w:val="3"/>
          </w:tcPr>
          <w:p>
            <w:pPr>
              <w:jc w:val="right"/>
              <w:ind w:right="720"/>
              <w:spacing w:after="0" w:line="79" w:lineRule="exact"/>
              <w:rPr>
                <w:sz w:val="20"/>
                <w:szCs w:val="20"/>
                <w:color w:val="auto"/>
              </w:rPr>
            </w:pPr>
            <w:r>
              <w:rPr>
                <w:rFonts w:ascii="Arial" w:cs="Arial" w:eastAsia="Arial" w:hAnsi="Arial"/>
                <w:sz w:val="9"/>
                <w:szCs w:val="9"/>
                <w:b w:val="1"/>
                <w:bCs w:val="1"/>
                <w:color w:val="auto"/>
              </w:rPr>
              <w:t>2014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Additional Term Loan interest</w:t>
            </w:r>
          </w:p>
        </w:tc>
        <w:tc>
          <w:tcPr>
            <w:tcW w:w="9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(1)</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32,850</w:t>
            </w: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16,470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2"/>
                <w:szCs w:val="12"/>
                <w:color w:val="auto"/>
              </w:rPr>
              <w:t>Additional ABL Revolver Interest</w:t>
            </w:r>
          </w:p>
        </w:tc>
        <w:tc>
          <w:tcPr>
            <w:tcW w:w="980" w:type="dxa"/>
            <w:vAlign w:val="bottom"/>
          </w:tcPr>
          <w:p>
            <w:pPr>
              <w:spacing w:after="0"/>
              <w:rPr>
                <w:sz w:val="18"/>
                <w:szCs w:val="18"/>
                <w:color w:val="auto"/>
              </w:rPr>
            </w:pPr>
          </w:p>
        </w:tc>
        <w:tc>
          <w:tcPr>
            <w:tcW w:w="880" w:type="dxa"/>
            <w:vAlign w:val="bottom"/>
          </w:tcPr>
          <w:p>
            <w:pPr>
              <w:jc w:val="right"/>
              <w:ind w:right="161"/>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1,235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2"/>
                <w:szCs w:val="12"/>
                <w:color w:val="auto"/>
              </w:rPr>
              <w:t>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Amortization of deferred financing costs and debt discount</w:t>
            </w:r>
          </w:p>
        </w:tc>
        <w:tc>
          <w:tcPr>
            <w:tcW w:w="9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2"/>
                <w:szCs w:val="12"/>
                <w:color w:val="auto"/>
              </w:rPr>
              <w:t>(3)</w:t>
            </w:r>
          </w:p>
        </w:tc>
        <w:tc>
          <w:tcPr>
            <w:tcW w:w="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2,046</w:t>
            </w: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1,014</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2"/>
                <w:szCs w:val="12"/>
                <w:color w:val="auto"/>
              </w:rPr>
              <w:t>Total additional interest expense</w:t>
            </w: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36,131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2"/>
                <w:szCs w:val="12"/>
                <w:color w:val="auto"/>
              </w:rPr>
              <w:t>18,103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w w:val="97"/>
              </w:rPr>
              <w:t>Add: Amortization of Insight Deferred Finance Costs reclassifed from depreciation and amortization</w:t>
            </w:r>
          </w:p>
        </w:tc>
        <w:tc>
          <w:tcPr>
            <w:tcW w:w="88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(4)</w:t>
            </w:r>
          </w:p>
        </w:tc>
        <w:tc>
          <w:tcPr>
            <w:tcW w:w="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4,471</w:t>
            </w: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2,225</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40,602</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20,328</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Less: Insight historical interest expense</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(5)</w:t>
            </w:r>
          </w:p>
        </w:tc>
        <w:tc>
          <w:tcPr>
            <w:tcW w:w="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37,707</w:t>
            </w: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18,428</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2"/>
                <w:szCs w:val="12"/>
                <w:color w:val="auto"/>
              </w:rPr>
              <w:t>Incremental interest expense (6)</w:t>
            </w: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2,895</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1,900</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620" w:hanging="216"/>
        <w:spacing w:after="0"/>
        <w:tabs>
          <w:tab w:leader="none" w:pos="620" w:val="left"/>
        </w:tabs>
        <w:numPr>
          <w:ilvl w:val="1"/>
          <w:numId w:val="9"/>
        </w:numPr>
        <w:rPr>
          <w:rFonts w:ascii="Arial" w:cs="Arial" w:eastAsia="Arial" w:hAnsi="Arial"/>
          <w:sz w:val="15"/>
          <w:szCs w:val="15"/>
          <w:color w:val="auto"/>
        </w:rPr>
      </w:pPr>
      <w:r>
        <w:rPr>
          <w:rFonts w:ascii="Arial" w:cs="Arial" w:eastAsia="Arial" w:hAnsi="Arial"/>
          <w:sz w:val="15"/>
          <w:szCs w:val="15"/>
          <w:color w:val="auto"/>
        </w:rPr>
        <w:t>Represents the interest on the additional $720 million Term Loan Credit Facility, assuming an interest rate of 4.5%.</w:t>
      </w:r>
    </w:p>
    <w:p>
      <w:pPr>
        <w:spacing w:after="0" w:line="179" w:lineRule="exact"/>
        <w:rPr>
          <w:rFonts w:ascii="Arial" w:cs="Arial" w:eastAsia="Arial" w:hAnsi="Arial"/>
          <w:sz w:val="15"/>
          <w:szCs w:val="15"/>
          <w:color w:val="auto"/>
        </w:rPr>
      </w:pPr>
    </w:p>
    <w:p>
      <w:pPr>
        <w:ind w:left="400" w:firstLine="4"/>
        <w:spacing w:after="0" w:line="300" w:lineRule="auto"/>
        <w:tabs>
          <w:tab w:leader="none" w:pos="607" w:val="left"/>
        </w:tabs>
        <w:numPr>
          <w:ilvl w:val="1"/>
          <w:numId w:val="9"/>
        </w:numPr>
        <w:rPr>
          <w:rFonts w:ascii="Arial" w:cs="Arial" w:eastAsia="Arial" w:hAnsi="Arial"/>
          <w:sz w:val="14"/>
          <w:szCs w:val="14"/>
          <w:color w:val="auto"/>
        </w:rPr>
      </w:pPr>
      <w:r>
        <w:rPr>
          <w:rFonts w:ascii="Arial" w:cs="Arial" w:eastAsia="Arial" w:hAnsi="Arial"/>
          <w:sz w:val="14"/>
          <w:szCs w:val="14"/>
          <w:color w:val="auto"/>
        </w:rPr>
        <w:t>Represents the additional interest on the ABL Revolver on the additional $59.6 million borrowed for the Insight acquisition, less $18.5 million repaid from the sale of one of the Insight brands on the same day, assuming an interest rate of 2.154% on the ABL Revolver plus using a 0.5% rate on the unused portion of the ABL Revolver.</w:t>
      </w:r>
    </w:p>
    <w:p>
      <w:pPr>
        <w:spacing w:after="0" w:line="125" w:lineRule="exact"/>
        <w:rPr>
          <w:rFonts w:ascii="Arial" w:cs="Arial" w:eastAsia="Arial" w:hAnsi="Arial"/>
          <w:sz w:val="14"/>
          <w:szCs w:val="14"/>
          <w:color w:val="auto"/>
        </w:rPr>
      </w:pPr>
    </w:p>
    <w:p>
      <w:pPr>
        <w:ind w:left="620" w:hanging="216"/>
        <w:spacing w:after="0"/>
        <w:tabs>
          <w:tab w:leader="none" w:pos="620" w:val="left"/>
        </w:tabs>
        <w:numPr>
          <w:ilvl w:val="1"/>
          <w:numId w:val="9"/>
        </w:numPr>
        <w:rPr>
          <w:rFonts w:ascii="Arial" w:cs="Arial" w:eastAsia="Arial" w:hAnsi="Arial"/>
          <w:sz w:val="15"/>
          <w:szCs w:val="15"/>
          <w:color w:val="auto"/>
        </w:rPr>
      </w:pPr>
      <w:r>
        <w:rPr>
          <w:rFonts w:ascii="Arial" w:cs="Arial" w:eastAsia="Arial" w:hAnsi="Arial"/>
          <w:sz w:val="15"/>
          <w:szCs w:val="15"/>
          <w:color w:val="auto"/>
        </w:rPr>
        <w:t>Represents the additional amortization of the capitalized debt fees and the debt discount of approximately $2.0 million annually using an effective interest method.</w:t>
      </w:r>
    </w:p>
    <w:p>
      <w:pPr>
        <w:spacing w:after="0" w:line="179" w:lineRule="exact"/>
        <w:rPr>
          <w:rFonts w:ascii="Arial" w:cs="Arial" w:eastAsia="Arial" w:hAnsi="Arial"/>
          <w:sz w:val="15"/>
          <w:szCs w:val="15"/>
          <w:color w:val="auto"/>
        </w:rPr>
      </w:pPr>
    </w:p>
    <w:p>
      <w:pPr>
        <w:ind w:left="400" w:right="180" w:firstLine="4"/>
        <w:spacing w:after="0" w:line="264" w:lineRule="auto"/>
        <w:tabs>
          <w:tab w:leader="none" w:pos="607" w:val="left"/>
        </w:tabs>
        <w:numPr>
          <w:ilvl w:val="1"/>
          <w:numId w:val="9"/>
        </w:numPr>
        <w:rPr>
          <w:rFonts w:ascii="Arial" w:cs="Arial" w:eastAsia="Arial" w:hAnsi="Arial"/>
          <w:sz w:val="15"/>
          <w:szCs w:val="15"/>
          <w:color w:val="auto"/>
        </w:rPr>
      </w:pPr>
      <w:r>
        <w:rPr>
          <w:rFonts w:ascii="Arial" w:cs="Arial" w:eastAsia="Arial" w:hAnsi="Arial"/>
          <w:sz w:val="15"/>
          <w:szCs w:val="15"/>
          <w:color w:val="auto"/>
        </w:rPr>
        <w:t>Reflects the reclassification of the deferred finance costs included in depreciation and amortization in the Insight historical financial statements and reclassified to interest expense to conform with the Company's presentation included in interest expense.</w:t>
      </w:r>
    </w:p>
    <w:p>
      <w:pPr>
        <w:spacing w:after="0" w:line="148" w:lineRule="exact"/>
        <w:rPr>
          <w:rFonts w:ascii="Arial" w:cs="Arial" w:eastAsia="Arial" w:hAnsi="Arial"/>
          <w:sz w:val="15"/>
          <w:szCs w:val="15"/>
          <w:color w:val="auto"/>
        </w:rPr>
      </w:pPr>
    </w:p>
    <w:p>
      <w:pPr>
        <w:ind w:left="400" w:right="240" w:firstLine="4"/>
        <w:spacing w:after="0" w:line="264" w:lineRule="auto"/>
        <w:tabs>
          <w:tab w:leader="none" w:pos="607" w:val="left"/>
        </w:tabs>
        <w:numPr>
          <w:ilvl w:val="1"/>
          <w:numId w:val="9"/>
        </w:numPr>
        <w:rPr>
          <w:rFonts w:ascii="Arial" w:cs="Arial" w:eastAsia="Arial" w:hAnsi="Arial"/>
          <w:sz w:val="15"/>
          <w:szCs w:val="15"/>
          <w:color w:val="auto"/>
        </w:rPr>
      </w:pPr>
      <w:r>
        <w:rPr>
          <w:rFonts w:ascii="Arial" w:cs="Arial" w:eastAsia="Arial" w:hAnsi="Arial"/>
          <w:sz w:val="15"/>
          <w:szCs w:val="15"/>
          <w:color w:val="auto"/>
        </w:rPr>
        <w:t>Reflects the reduction of Insight's historical interest expense, including the amortization of deferred finance costs reclassified to interest expense as the Insight debt was repaid in its entirety at the date of acquisition with the proceeds of the transactions.</w:t>
      </w:r>
    </w:p>
    <w:p>
      <w:pPr>
        <w:spacing w:after="0" w:line="148" w:lineRule="exact"/>
        <w:rPr>
          <w:rFonts w:ascii="Arial" w:cs="Arial" w:eastAsia="Arial" w:hAnsi="Arial"/>
          <w:sz w:val="15"/>
          <w:szCs w:val="15"/>
          <w:color w:val="auto"/>
        </w:rPr>
      </w:pPr>
    </w:p>
    <w:p>
      <w:pPr>
        <w:ind w:left="620" w:hanging="216"/>
        <w:spacing w:after="0"/>
        <w:tabs>
          <w:tab w:leader="none" w:pos="620" w:val="left"/>
        </w:tabs>
        <w:numPr>
          <w:ilvl w:val="1"/>
          <w:numId w:val="9"/>
        </w:numPr>
        <w:rPr>
          <w:rFonts w:ascii="Arial" w:cs="Arial" w:eastAsia="Arial" w:hAnsi="Arial"/>
          <w:sz w:val="15"/>
          <w:szCs w:val="15"/>
          <w:color w:val="auto"/>
        </w:rPr>
      </w:pPr>
      <w:r>
        <w:rPr>
          <w:rFonts w:ascii="Arial" w:cs="Arial" w:eastAsia="Arial" w:hAnsi="Arial"/>
          <w:sz w:val="15"/>
          <w:szCs w:val="15"/>
          <w:color w:val="auto"/>
        </w:rPr>
        <w:t>The effect of a hypothetical 1/8% change in the variable interest rate would change interest expense by $1.0 million per year.</w:t>
      </w:r>
    </w:p>
    <w:p>
      <w:pPr>
        <w:spacing w:after="0" w:line="355" w:lineRule="exact"/>
        <w:rPr>
          <w:rFonts w:ascii="Arial" w:cs="Arial" w:eastAsia="Arial" w:hAnsi="Arial"/>
          <w:sz w:val="15"/>
          <w:szCs w:val="15"/>
          <w:color w:val="auto"/>
        </w:rPr>
      </w:pPr>
    </w:p>
    <w:p>
      <w:pPr>
        <w:ind w:right="160" w:firstLine="8"/>
        <w:spacing w:after="0" w:line="264" w:lineRule="auto"/>
        <w:tabs>
          <w:tab w:leader="none" w:pos="207"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Reflects the estimated income tax rate applied to the pro forma adjustments of 40%, the expected statutory rate. All other tax amounts are stated at their historical amounts, as the combined company's overall effective tax rate has not yet been determined.</w:t>
      </w:r>
    </w:p>
    <w:sectPr>
      <w:pgSz w:w="11900" w:h="16838" w:orient="portrait"/>
      <w:cols w:equalWidth="0" w:num="1">
        <w:col w:w="11400"/>
      </w:cols>
      <w:pgMar w:left="220" w:top="67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4"/>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lvl w:ilvl="1">
      <w:lvlJc w:val="left"/>
      <w:lvlText w:val="(%2)"/>
      <w:numFmt w:val="decimal"/>
      <w:start w:val="3"/>
    </w:lvl>
  </w:abstractNum>
  <w:abstractNum w:abstractNumId="7">
    <w:nsid w:val="5BD062C2"/>
    <w:multiLevelType w:val="hybridMultilevel"/>
    <w:lvl w:ilvl="0">
      <w:lvlJc w:val="left"/>
      <w:lvlText w:val="(%1)"/>
      <w:numFmt w:val="lowerLetter"/>
      <w:start w:val="6"/>
    </w:lvl>
    <w:lvl w:ilvl="1">
      <w:lvlJc w:val="left"/>
      <w:lvlText w:val="%2"/>
      <w:numFmt w:val="decimal"/>
      <w:start w:val="1"/>
    </w:lvl>
  </w:abstractNum>
  <w:abstractNum w:abstractNumId="8">
    <w:nsid w:val="12200854"/>
    <w:multiLevelType w:val="hybridMultilevel"/>
    <w:lvl w:ilvl="0">
      <w:lvlJc w:val="left"/>
      <w:lvlText w:val="%1"/>
      <w:numFmt w:val="lowerLetter"/>
      <w:start w:val="1"/>
    </w:lvl>
    <w:lvl w:ilvl="1">
      <w:lvlJc w:val="left"/>
      <w:lvlText w:val="(%2)"/>
      <w:numFmt w:val="decimal"/>
      <w:start w:val="1"/>
    </w:lvl>
  </w:abstractNum>
  <w:abstractNum w:abstractNumId="9">
    <w:nsid w:val="4DB127F8"/>
    <w:multiLevelType w:val="hybridMultilevel"/>
    <w:lvl w:ilvl="0">
      <w:lvlJc w:val="left"/>
      <w:lvlText w:val="(%1)"/>
      <w:numFmt w:val="lowerLetter"/>
      <w:start w:val="7"/>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2019-12-07T07:50:44Z</dcterms:created>
  <dcterms:modified xsi:type="dcterms:W3CDTF">2019-12-07T07:50:44Z</dcterms:modified>
</cp:coreProperties>
</file>